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560" w:firstLineChars="800"/>
        <w:rPr>
          <w:rFonts w:ascii="黑体" w:hAnsi="Times New Roman" w:eastAsia="黑体" w:cs="Times New Roman"/>
          <w:b/>
          <w:bCs/>
          <w:spacing w:val="-20"/>
          <w:sz w:val="32"/>
          <w:szCs w:val="32"/>
        </w:rPr>
      </w:pPr>
      <w:bookmarkStart w:id="1" w:name="_GoBack"/>
      <w:bookmarkEnd w:id="1"/>
      <w:r>
        <w:rPr>
          <w:rFonts w:hint="eastAsia" w:ascii="黑体" w:hAnsi="Times New Roman" w:eastAsia="黑体" w:cs="Times New Roman"/>
          <w:sz w:val="32"/>
          <w:szCs w:val="32"/>
        </w:rPr>
        <w:t>附件1</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spacing w:line="360" w:lineRule="auto"/>
        <w:jc w:val="center"/>
        <w:rPr>
          <w:rFonts w:ascii="方正大标宋简体" w:hAnsi="方正大标宋简体" w:eastAsia="方正大标宋简体" w:cs="方正大标宋简体"/>
          <w:bCs/>
          <w:sz w:val="36"/>
          <w:szCs w:val="36"/>
        </w:rPr>
      </w:pPr>
      <w:r>
        <w:rPr>
          <w:rFonts w:hint="eastAsia" w:ascii="Times New Roman" w:hAnsi="Times New Roman" w:eastAsia="方正大标宋简体" w:cs="Times New Roman"/>
          <w:w w:val="95"/>
          <w:sz w:val="44"/>
          <w:szCs w:val="44"/>
        </w:rPr>
        <w:t>2019年山西省高等学校一流本科专业建设点</w:t>
      </w:r>
      <w:r>
        <w:rPr>
          <w:rFonts w:hint="eastAsia" w:ascii="Times New Roman" w:hAnsi="Times New Roman" w:eastAsia="方正大标宋简体" w:cs="Times New Roman"/>
          <w:sz w:val="44"/>
          <w:szCs w:val="44"/>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637" w:firstLineChars="177"/>
        <w:rPr>
          <w:rFonts w:ascii="楷体" w:hAnsi="楷体" w:eastAsia="楷体" w:cs="楷体"/>
          <w:szCs w:val="24"/>
        </w:rPr>
      </w:pPr>
      <w:r>
        <w:rPr>
          <w:rFonts w:hint="eastAsia" w:ascii="楷体" w:hAnsi="楷体" w:eastAsia="楷体" w:cs="楷体"/>
          <w:sz w:val="36"/>
          <w:szCs w:val="24"/>
        </w:rPr>
        <w:t>高校名称：</w:t>
      </w:r>
      <w:r>
        <w:rPr>
          <w:rFonts w:hint="eastAsia" w:ascii="楷体" w:hAnsi="楷体" w:eastAsia="楷体" w:cs="楷体"/>
          <w:sz w:val="36"/>
          <w:szCs w:val="24"/>
          <w:u w:val="single"/>
        </w:rPr>
        <w:t xml:space="preserve">     太原工业学院（盖章）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专业名称：</w:t>
      </w:r>
      <w:r>
        <w:rPr>
          <w:rFonts w:hint="eastAsia" w:ascii="楷体" w:hAnsi="楷体" w:eastAsia="楷体" w:cs="楷体"/>
          <w:sz w:val="36"/>
          <w:szCs w:val="24"/>
          <w:u w:val="single"/>
        </w:rPr>
        <w:t xml:space="preserve">        财务管理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专业代码：</w:t>
      </w:r>
      <w:r>
        <w:rPr>
          <w:rFonts w:hint="eastAsia" w:ascii="楷体" w:hAnsi="楷体" w:eastAsia="楷体" w:cs="楷体"/>
          <w:sz w:val="36"/>
          <w:szCs w:val="24"/>
          <w:u w:val="single"/>
        </w:rPr>
        <w:t xml:space="preserve">         12024             </w:t>
      </w:r>
    </w:p>
    <w:p>
      <w:pPr>
        <w:spacing w:line="720" w:lineRule="exact"/>
        <w:ind w:firstLine="686" w:firstLineChars="177"/>
        <w:rPr>
          <w:rFonts w:ascii="楷体" w:hAnsi="楷体" w:eastAsia="楷体" w:cs="楷体"/>
          <w:spacing w:val="14"/>
          <w:sz w:val="36"/>
          <w:szCs w:val="24"/>
          <w:u w:val="single"/>
        </w:rPr>
      </w:pPr>
      <w:r>
        <w:rPr>
          <w:rFonts w:hint="eastAsia" w:ascii="楷体" w:hAnsi="楷体" w:eastAsia="楷体" w:cs="楷体"/>
          <w:spacing w:val="14"/>
          <w:sz w:val="36"/>
          <w:szCs w:val="24"/>
        </w:rPr>
        <w:t>专业类：</w:t>
      </w:r>
      <w:r>
        <w:rPr>
          <w:rFonts w:hint="eastAsia" w:ascii="楷体" w:hAnsi="楷体" w:eastAsia="楷体" w:cs="楷体"/>
          <w:spacing w:val="14"/>
          <w:sz w:val="36"/>
          <w:szCs w:val="24"/>
          <w:u w:val="single"/>
        </w:rPr>
        <w:t xml:space="preserve">         管理类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专业负责人：</w:t>
      </w:r>
      <w:r>
        <w:rPr>
          <w:rFonts w:hint="eastAsia" w:ascii="楷体" w:hAnsi="楷体" w:eastAsia="楷体" w:cs="楷体"/>
          <w:sz w:val="36"/>
          <w:szCs w:val="24"/>
          <w:u w:val="single"/>
        </w:rPr>
        <w:t xml:space="preserve">       </w:t>
      </w:r>
      <w:r>
        <w:rPr>
          <w:rFonts w:hint="eastAsia" w:ascii="楷体" w:hAnsi="楷体" w:eastAsia="楷体" w:cs="楷体"/>
          <w:sz w:val="36"/>
          <w:szCs w:val="24"/>
          <w:u w:val="single"/>
          <w:lang w:eastAsia="zh-CN"/>
        </w:rPr>
        <w:t>张勇格</w:t>
      </w:r>
      <w:r>
        <w:rPr>
          <w:rFonts w:hint="eastAsia" w:ascii="楷体" w:hAnsi="楷体" w:eastAsia="楷体" w:cs="楷体"/>
          <w:sz w:val="36"/>
          <w:szCs w:val="24"/>
          <w:u w:val="single"/>
        </w:rPr>
        <w:t xml:space="preserve">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联系电话：</w:t>
      </w:r>
      <w:r>
        <w:rPr>
          <w:rFonts w:hint="eastAsia" w:ascii="楷体" w:hAnsi="楷体" w:eastAsia="楷体" w:cs="楷体"/>
          <w:sz w:val="36"/>
          <w:szCs w:val="24"/>
          <w:u w:val="single"/>
        </w:rPr>
        <w:t xml:space="preserve">        </w:t>
      </w:r>
      <w:r>
        <w:rPr>
          <w:rFonts w:hint="eastAsia" w:ascii="楷体" w:hAnsi="楷体" w:eastAsia="楷体" w:cs="楷体"/>
          <w:sz w:val="36"/>
          <w:szCs w:val="24"/>
          <w:u w:val="single"/>
          <w:lang w:val="en-US" w:eastAsia="zh-CN"/>
        </w:rPr>
        <w:t>13834677708</w:t>
      </w:r>
      <w:r>
        <w:rPr>
          <w:rFonts w:hint="eastAsia" w:ascii="楷体" w:hAnsi="楷体" w:eastAsia="楷体" w:cs="楷体"/>
          <w:sz w:val="36"/>
          <w:szCs w:val="24"/>
          <w:u w:val="single"/>
        </w:rPr>
        <w:t xml:space="preserve">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山西省教育厅制</w:t>
      </w:r>
    </w:p>
    <w:p>
      <w:pPr>
        <w:jc w:val="center"/>
        <w:rPr>
          <w:rFonts w:ascii="黑体" w:hAnsi="Arial" w:eastAsia="黑体" w:cs="Times New Roman"/>
          <w:bCs/>
          <w:spacing w:val="100"/>
          <w:sz w:val="36"/>
          <w:szCs w:val="36"/>
        </w:rPr>
        <w:sectPr>
          <w:pgSz w:w="11906" w:h="16838"/>
          <w:pgMar w:top="1440" w:right="1800" w:bottom="1440" w:left="1800" w:header="851" w:footer="992" w:gutter="0"/>
          <w:cols w:space="425" w:num="1"/>
          <w:docGrid w:type="lines" w:linePitch="312" w:charSpace="0"/>
        </w:sectPr>
      </w:pPr>
    </w:p>
    <w:p>
      <w:pPr>
        <w:jc w:val="center"/>
        <w:rPr>
          <w:rFonts w:ascii="黑体" w:hAnsi="Arial" w:eastAsia="黑体" w:cs="Times New Roman"/>
          <w:bCs/>
          <w:spacing w:val="100"/>
          <w:sz w:val="36"/>
          <w:szCs w:val="36"/>
        </w:rPr>
      </w:pP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1.采集表填写内容必须实事求是，表达准确严谨。填报内容不得有空缺项，如无内容应填“无”。</w:t>
      </w:r>
      <w:r>
        <w:rPr>
          <w:rFonts w:ascii="Times New Roman" w:hAnsi="Times New Roman" w:eastAsia="仿宋" w:cs="Times New Roman"/>
          <w:bCs/>
          <w:sz w:val="32"/>
          <w:szCs w:val="32"/>
        </w:rPr>
        <w:t>所在学校应严格审核，对所填内容的真实性负责。</w:t>
      </w:r>
    </w:p>
    <w:p>
      <w:pPr>
        <w:spacing w:line="360" w:lineRule="auto"/>
        <w:ind w:firstLine="640" w:firstLineChars="200"/>
        <w:jc w:val="left"/>
        <w:rPr>
          <w:rFonts w:ascii="Times New Roman" w:hAnsi="Times New Roman" w:eastAsia="仿宋" w:cs="Times New Roman"/>
          <w:bCs/>
          <w:sz w:val="32"/>
          <w:szCs w:val="32"/>
        </w:rPr>
      </w:pPr>
      <w:r>
        <w:rPr>
          <w:rFonts w:ascii="Times New Roman" w:hAnsi="Times New Roman" w:eastAsia="仿宋" w:cs="Times New Roman"/>
          <w:bCs/>
          <w:sz w:val="32"/>
          <w:szCs w:val="32"/>
        </w:rPr>
        <w:t>2.表中空格不够时，可另附页，页码清晰。</w:t>
      </w:r>
    </w:p>
    <w:p>
      <w:pPr>
        <w:spacing w:line="440" w:lineRule="exact"/>
        <w:ind w:firstLine="640" w:firstLineChars="200"/>
        <w:rPr>
          <w:rFonts w:ascii="Times New Roman" w:hAnsi="Times New Roman" w:eastAsia="仿宋" w:cs="Times New Roman"/>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 w:cs="Times New Roman"/>
          <w:bCs/>
          <w:sz w:val="32"/>
          <w:szCs w:val="32"/>
        </w:rPr>
        <w:t>3.采集表限用A4纸张打印填报并装订成册。</w:t>
      </w:r>
    </w:p>
    <w:p>
      <w:pPr>
        <w:spacing w:line="44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目    录</w:t>
      </w:r>
    </w:p>
    <w:p>
      <w:pPr>
        <w:spacing w:line="360" w:lineRule="auto"/>
        <w:rPr>
          <w:rFonts w:ascii="Times New Roman" w:hAnsi="Times New Roman" w:eastAsia="仿宋_GB2312" w:cs="Times New Roman"/>
          <w:sz w:val="32"/>
          <w:szCs w:val="24"/>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一、所在高校基本情况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二、报送专业情况</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1.专业基本情况</w:t>
      </w:r>
    </w:p>
    <w:p>
      <w:pPr>
        <w:spacing w:line="360" w:lineRule="auto"/>
        <w:ind w:firstLine="640" w:firstLineChars="200"/>
        <w:rPr>
          <w:rFonts w:ascii="Times New Roman" w:hAnsi="Times New Roman" w:eastAsia="仿宋_GB2312" w:cs="Times New Roman"/>
          <w:bCs/>
          <w:spacing w:val="20"/>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.专业负责人基本情况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3.近3年本专业毕业生就业（升学）情况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4.近3年本专业获省部级及以上奖励和支持情况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5.专业定位、历史沿革和特色优势</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6.深化专业综合改革的主要措施和成效</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7.加强师资队伍和基层教学组织建设的主要举措及成效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8.加强专业教学质量保障体系建设的主要举措和成效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9.毕业生培养质量的跟踪调查结果和外部评价</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三、下一步推进专业建设和改革的主要思路及举措</w:t>
      </w:r>
    </w:p>
    <w:p>
      <w:pPr>
        <w:rPr>
          <w:rFonts w:ascii="Times New Roman" w:hAnsi="Times New Roman" w:eastAsia="黑体"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一、所在高校基本情况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w:t>
            </w:r>
          </w:p>
        </w:tc>
        <w:tc>
          <w:tcPr>
            <w:tcW w:w="360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973" w:type="dxa"/>
            <w:vMerge w:val="restart"/>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ind w:firstLine="180" w:firstLineChars="100"/>
              <w:rPr>
                <w:rFonts w:ascii="Times New Roman" w:hAnsi="Times New Roman" w:eastAsia="仿宋_GB2312" w:cs="Times New Roman"/>
                <w:sz w:val="24"/>
                <w:szCs w:val="24"/>
              </w:rPr>
            </w:pPr>
            <w:r>
              <w:rPr>
                <w:rFonts w:hint="eastAsia" w:cs="Times New Roman" w:asciiTheme="minorEastAsia" w:hAnsiTheme="minorEastAsia"/>
                <w:sz w:val="18"/>
                <w:szCs w:val="18"/>
                <w:bdr w:val="single" w:color="auto" w:sz="4" w:space="0"/>
              </w:rPr>
              <w:t>√</w:t>
            </w:r>
            <w:r>
              <w:rPr>
                <w:rFonts w:ascii="Times New Roman" w:hAnsi="Times New Roman" w:eastAsia="仿宋_GB2312" w:cs="Times New Roman"/>
                <w:sz w:val="24"/>
                <w:szCs w:val="24"/>
              </w:rPr>
              <w:t xml:space="preserve">地方院校  □部省合建高校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ind w:firstLine="180" w:firstLineChars="100"/>
              <w:rPr>
                <w:rFonts w:ascii="Times New Roman" w:hAnsi="Times New Roman" w:eastAsia="仿宋_GB2312" w:cs="Times New Roman"/>
                <w:sz w:val="24"/>
                <w:szCs w:val="24"/>
              </w:rPr>
            </w:pPr>
            <w:r>
              <w:rPr>
                <w:rFonts w:hint="eastAsia" w:cs="Times New Roman" w:asciiTheme="minorEastAsia" w:hAnsiTheme="minorEastAsia"/>
                <w:sz w:val="18"/>
                <w:szCs w:val="18"/>
                <w:bdr w:val="single" w:color="auto" w:sz="4" w:space="0"/>
              </w:rPr>
              <w:t>√</w:t>
            </w:r>
            <w:r>
              <w:rPr>
                <w:rFonts w:ascii="Times New Roman" w:hAnsi="Times New Roman" w:eastAsia="仿宋_GB2312" w:cs="Times New Roman"/>
                <w:sz w:val="24"/>
                <w:szCs w:val="24"/>
              </w:rPr>
              <w:t xml:space="preserve">公办      □民办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15803</w:t>
            </w: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近3年年均本科招生数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4136</w:t>
            </w: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645</w:t>
            </w: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28.68</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21.67</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86.98</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推进高水平本科建设整体情况</w:t>
            </w:r>
          </w:p>
        </w:tc>
        <w:tc>
          <w:tcPr>
            <w:tcW w:w="6386" w:type="dxa"/>
            <w:gridSpan w:val="6"/>
          </w:tcPr>
          <w:p>
            <w:pPr>
              <w:spacing w:line="360" w:lineRule="auto"/>
              <w:ind w:firstLine="480" w:firstLineChars="200"/>
              <w:rPr>
                <w:rFonts w:ascii="仿宋" w:hAnsi="仿宋" w:eastAsia="仿宋"/>
                <w:sz w:val="24"/>
                <w:szCs w:val="24"/>
              </w:rPr>
            </w:pPr>
            <w:r>
              <w:rPr>
                <w:rFonts w:hint="eastAsia" w:ascii="仿宋" w:hAnsi="仿宋" w:eastAsia="仿宋"/>
                <w:sz w:val="24"/>
                <w:szCs w:val="24"/>
              </w:rPr>
              <w:t>太原工业学院是以工程应用为特色，工、理、经、管、文、法、艺、教多学科协调发展的全日制普通本科高校；是国家“十三五”应用型本科产教融合发展工程规划项目支持高校，是山西省应用型转型首批试点高校，山西省深化创新创业教育改革示范高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学校围绕“育人为本，强化实践，凝练特色，服务社会”的教育教学理念，不断加快建设与区域（行业）主导产业和战略性新兴产业相关专业，拥有“本科教学工程”教育部地方高校第一批综合改革试点专业</w:t>
            </w:r>
            <w:r>
              <w:rPr>
                <w:rFonts w:ascii="仿宋" w:hAnsi="仿宋" w:eastAsia="仿宋"/>
                <w:sz w:val="24"/>
                <w:szCs w:val="24"/>
              </w:rPr>
              <w:t>1个，</w:t>
            </w:r>
            <w:r>
              <w:rPr>
                <w:rFonts w:hint="eastAsia" w:ascii="仿宋" w:hAnsi="仿宋" w:eastAsia="仿宋"/>
                <w:sz w:val="24"/>
                <w:szCs w:val="24"/>
              </w:rPr>
              <w:t>省级优势专业2个，省级特色专业5个</w:t>
            </w:r>
            <w:r>
              <w:rPr>
                <w:rFonts w:ascii="仿宋" w:hAnsi="仿宋" w:eastAsia="仿宋"/>
                <w:sz w:val="24"/>
                <w:szCs w:val="24"/>
              </w:rPr>
              <w:t>。材料科学与工程学科为省级重点扶持学科、山西省“1331工程”重点学科建设计划优势特色学科。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学院坚持以习近平新时代教育思想为指导，坚持“以本为本”，推进“四个回归”，全面提高应用型人才培养能力。学院聚焦</w:t>
            </w:r>
            <w:r>
              <w:rPr>
                <w:rFonts w:ascii="仿宋" w:hAnsi="仿宋" w:eastAsia="仿宋"/>
                <w:sz w:val="24"/>
                <w:szCs w:val="24"/>
              </w:rPr>
              <w:t>“两个根本”，</w:t>
            </w:r>
            <w:r>
              <w:rPr>
                <w:rFonts w:hint="eastAsia" w:ascii="仿宋" w:hAnsi="仿宋" w:eastAsia="仿宋"/>
                <w:sz w:val="24"/>
                <w:szCs w:val="24"/>
              </w:rPr>
              <w:t>紧扣高素质应用型人才培养主线，</w:t>
            </w:r>
            <w:r>
              <w:rPr>
                <w:rFonts w:ascii="仿宋" w:hAnsi="仿宋" w:eastAsia="仿宋"/>
                <w:sz w:val="24"/>
                <w:szCs w:val="24"/>
              </w:rPr>
              <w:t>坚持问题导向和目标导向，转变思想观念，</w:t>
            </w:r>
            <w:r>
              <w:rPr>
                <w:rFonts w:hint="eastAsia" w:ascii="仿宋" w:hAnsi="仿宋" w:eastAsia="仿宋"/>
                <w:sz w:val="24"/>
                <w:szCs w:val="24"/>
              </w:rPr>
              <w:t>加大新工科建设，</w:t>
            </w:r>
            <w:r>
              <w:rPr>
                <w:rFonts w:ascii="仿宋" w:hAnsi="仿宋" w:eastAsia="仿宋"/>
                <w:sz w:val="24"/>
                <w:szCs w:val="24"/>
              </w:rPr>
              <w:t>切实增强振兴本科的思想自觉性和行动自觉性。</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一是开展立德树人行动。积极构建“1</w:t>
            </w:r>
            <w:r>
              <w:rPr>
                <w:rFonts w:ascii="仿宋" w:hAnsi="仿宋" w:eastAsia="仿宋"/>
                <w:sz w:val="24"/>
                <w:szCs w:val="24"/>
              </w:rPr>
              <w:t>39</w:t>
            </w:r>
            <w:r>
              <w:rPr>
                <w:rFonts w:hint="eastAsia" w:ascii="仿宋" w:hAnsi="仿宋" w:eastAsia="仿宋"/>
                <w:sz w:val="24"/>
                <w:szCs w:val="24"/>
              </w:rPr>
              <w:t>”育人体系，深化思政课程教学改革和课程思政改革；推动第二课堂课程化、项目化改革。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二是实施应用型专业提质工程。落实专业优化调整和一流专业建设实施方案，</w:t>
            </w:r>
            <w:r>
              <w:rPr>
                <w:rFonts w:ascii="仿宋" w:hAnsi="仿宋" w:eastAsia="仿宋"/>
                <w:sz w:val="24"/>
                <w:szCs w:val="24"/>
              </w:rPr>
              <w:t>打造“新工科”专业</w:t>
            </w:r>
            <w:r>
              <w:rPr>
                <w:rFonts w:hint="eastAsia" w:ascii="仿宋" w:hAnsi="仿宋" w:eastAsia="仿宋"/>
                <w:sz w:val="24"/>
                <w:szCs w:val="24"/>
              </w:rPr>
              <w:t>，积极开展</w:t>
            </w:r>
            <w:r>
              <w:rPr>
                <w:rFonts w:ascii="仿宋" w:hAnsi="仿宋" w:eastAsia="仿宋"/>
                <w:sz w:val="24"/>
                <w:szCs w:val="24"/>
              </w:rPr>
              <w:t>校内专业自评</w:t>
            </w:r>
            <w:r>
              <w:rPr>
                <w:rFonts w:hint="eastAsia" w:ascii="仿宋" w:hAnsi="仿宋" w:eastAsia="仿宋"/>
                <w:sz w:val="24"/>
                <w:szCs w:val="24"/>
              </w:rPr>
              <w:t>和</w:t>
            </w:r>
            <w:r>
              <w:rPr>
                <w:rFonts w:ascii="仿宋" w:hAnsi="仿宋" w:eastAsia="仿宋"/>
                <w:sz w:val="24"/>
                <w:szCs w:val="24"/>
              </w:rPr>
              <w:t>工程教育专业认证工作</w:t>
            </w:r>
            <w:r>
              <w:rPr>
                <w:rFonts w:hint="eastAsia" w:ascii="仿宋" w:hAnsi="仿宋" w:eastAsia="仿宋"/>
                <w:sz w:val="24"/>
                <w:szCs w:val="24"/>
              </w:rPr>
              <w:t>，构建了7大专业群，规划申请6个新工科专业。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三是实施创新创业深化工程。健全创新创业学院管理体系，深化“一系一赛”双创体系，加强省级众创空间建设，加大创新创业团队和创业项目扶持力度，保证每年双创专项经费不低于</w:t>
            </w:r>
            <w:r>
              <w:rPr>
                <w:rFonts w:ascii="仿宋" w:hAnsi="仿宋" w:eastAsia="仿宋"/>
                <w:sz w:val="24"/>
                <w:szCs w:val="24"/>
              </w:rPr>
              <w:t>300万元</w:t>
            </w:r>
            <w:r>
              <w:rPr>
                <w:rFonts w:hint="eastAsia" w:ascii="仿宋" w:hAnsi="仿宋" w:eastAsia="仿宋"/>
                <w:sz w:val="24"/>
                <w:szCs w:val="24"/>
              </w:rPr>
              <w:t>，近五年，学生获省级以上奖项</w:t>
            </w:r>
            <w:r>
              <w:rPr>
                <w:rFonts w:ascii="仿宋" w:hAnsi="仿宋" w:eastAsia="仿宋"/>
                <w:sz w:val="24"/>
                <w:szCs w:val="24"/>
              </w:rPr>
              <w:t>600余项</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四是推进教学能力提升。实施“一师三课、一课三师”和“导师制”，提高教师教书育人能力。2</w:t>
            </w:r>
            <w:r>
              <w:rPr>
                <w:rFonts w:ascii="仿宋" w:hAnsi="仿宋" w:eastAsia="仿宋"/>
                <w:sz w:val="24"/>
                <w:szCs w:val="24"/>
              </w:rPr>
              <w:t>017</w:t>
            </w:r>
            <w:r>
              <w:rPr>
                <w:rFonts w:hint="eastAsia" w:ascii="仿宋" w:hAnsi="仿宋" w:eastAsia="仿宋"/>
                <w:sz w:val="24"/>
                <w:szCs w:val="24"/>
              </w:rPr>
              <w:t>年获得省级教学成果奖9项（其中特等奖1项），近两年省级教研立项1</w:t>
            </w:r>
            <w:r>
              <w:rPr>
                <w:rFonts w:ascii="仿宋" w:hAnsi="仿宋" w:eastAsia="仿宋"/>
                <w:sz w:val="24"/>
                <w:szCs w:val="24"/>
              </w:rPr>
              <w:t>6</w:t>
            </w:r>
            <w:r>
              <w:rPr>
                <w:rFonts w:hint="eastAsia" w:ascii="仿宋" w:hAnsi="仿宋" w:eastAsia="仿宋"/>
                <w:sz w:val="24"/>
                <w:szCs w:val="24"/>
              </w:rPr>
              <w:t>项（其中重点3项）。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五是强化产教融合行动。深化校企合作，拓宽人才培养渠道，健全管理协同机制，推进产业学院和“协同育人”项目建设，开展模块化、“3</w:t>
            </w:r>
            <w:r>
              <w:rPr>
                <w:rFonts w:ascii="仿宋" w:hAnsi="仿宋" w:eastAsia="仿宋"/>
                <w:sz w:val="24"/>
                <w:szCs w:val="24"/>
              </w:rPr>
              <w:t>+1</w:t>
            </w:r>
            <w:r>
              <w:rPr>
                <w:rFonts w:hint="eastAsia" w:ascii="仿宋" w:hAnsi="仿宋" w:eastAsia="仿宋"/>
                <w:sz w:val="24"/>
                <w:szCs w:val="24"/>
              </w:rPr>
              <w:t>”、工作室制等教学模式，</w:t>
            </w:r>
            <w:r>
              <w:rPr>
                <w:rFonts w:ascii="仿宋" w:hAnsi="仿宋" w:eastAsia="仿宋"/>
                <w:sz w:val="24"/>
                <w:szCs w:val="24"/>
              </w:rPr>
              <w:t>拓宽学生</w:t>
            </w:r>
            <w:r>
              <w:rPr>
                <w:rFonts w:hint="eastAsia" w:ascii="仿宋" w:hAnsi="仿宋" w:eastAsia="仿宋"/>
                <w:sz w:val="24"/>
                <w:szCs w:val="24"/>
              </w:rPr>
              <w:t>培养</w:t>
            </w:r>
            <w:r>
              <w:rPr>
                <w:rFonts w:ascii="仿宋" w:hAnsi="仿宋" w:eastAsia="仿宋"/>
                <w:sz w:val="24"/>
                <w:szCs w:val="24"/>
              </w:rPr>
              <w:t>途径。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六是深化实践教学能力提升计划。优化实践教学体系，以卓越工程师能力培养为主线，按照工作化、任务化思路，构建</w:t>
            </w:r>
            <w:r>
              <w:rPr>
                <w:rFonts w:ascii="仿宋" w:hAnsi="仿宋" w:eastAsia="仿宋"/>
                <w:sz w:val="24"/>
                <w:szCs w:val="24"/>
              </w:rPr>
              <w:t xml:space="preserve"> “理实一体、工学结合”的实践教学体系。</w:t>
            </w:r>
            <w:r>
              <w:rPr>
                <w:rFonts w:hint="eastAsia" w:ascii="仿宋" w:hAnsi="仿宋" w:eastAsia="仿宋"/>
                <w:sz w:val="24"/>
                <w:szCs w:val="24"/>
              </w:rPr>
              <w:t>现有省级实验示范中心5个，虚拟仿真实验项目2项。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七是加强应用型课程建设。细化应用型课程建设规划，探索信息化教学手段，改革课堂教学模式，建设应用性案例库或项目库，总结建设成果，探索课证融合，现已立项建设1</w:t>
            </w:r>
            <w:r>
              <w:rPr>
                <w:rFonts w:ascii="仿宋" w:hAnsi="仿宋" w:eastAsia="仿宋"/>
                <w:sz w:val="24"/>
                <w:szCs w:val="24"/>
              </w:rPr>
              <w:t>20</w:t>
            </w:r>
            <w:r>
              <w:rPr>
                <w:rFonts w:hint="eastAsia" w:ascii="仿宋" w:hAnsi="仿宋" w:eastAsia="仿宋"/>
                <w:sz w:val="24"/>
                <w:szCs w:val="24"/>
              </w:rPr>
              <w:t>余门课程。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八是加强教学资源建设。搭建信息化教学平台，加大</w:t>
            </w:r>
            <w:r>
              <w:rPr>
                <w:rFonts w:ascii="仿宋" w:hAnsi="仿宋" w:eastAsia="仿宋"/>
                <w:sz w:val="24"/>
                <w:szCs w:val="24"/>
              </w:rPr>
              <w:t>在线课程、应用型教材（讲义）</w:t>
            </w:r>
            <w:r>
              <w:rPr>
                <w:rFonts w:hint="eastAsia" w:ascii="仿宋" w:hAnsi="仿宋" w:eastAsia="仿宋"/>
                <w:sz w:val="24"/>
                <w:szCs w:val="24"/>
              </w:rPr>
              <w:t>和虚拟仿真实验项目等</w:t>
            </w:r>
            <w:r>
              <w:rPr>
                <w:rFonts w:ascii="仿宋" w:hAnsi="仿宋" w:eastAsia="仿宋"/>
                <w:sz w:val="24"/>
                <w:szCs w:val="24"/>
              </w:rPr>
              <w:t>优质资源共享</w:t>
            </w:r>
            <w:r>
              <w:rPr>
                <w:rFonts w:hint="eastAsia" w:ascii="仿宋" w:hAnsi="仿宋" w:eastAsia="仿宋"/>
                <w:sz w:val="24"/>
                <w:szCs w:val="24"/>
              </w:rPr>
              <w:t>建设，</w:t>
            </w:r>
            <w:r>
              <w:rPr>
                <w:rFonts w:ascii="仿宋" w:hAnsi="仿宋" w:eastAsia="仿宋"/>
                <w:sz w:val="24"/>
                <w:szCs w:val="24"/>
              </w:rPr>
              <w:t>为学生提供优质的</w:t>
            </w:r>
            <w:r>
              <w:rPr>
                <w:rFonts w:hint="eastAsia" w:ascii="仿宋" w:hAnsi="仿宋" w:eastAsia="仿宋"/>
                <w:sz w:val="24"/>
                <w:szCs w:val="24"/>
              </w:rPr>
              <w:t>线上线下</w:t>
            </w:r>
            <w:r>
              <w:rPr>
                <w:rFonts w:ascii="仿宋" w:hAnsi="仿宋" w:eastAsia="仿宋"/>
                <w:sz w:val="24"/>
                <w:szCs w:val="24"/>
              </w:rPr>
              <w:t>学习资源。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九是夯实质量保障计划。完善教学管理和自我评估制度，修订教学各环节质量标准体系，出台学校教学质量监控和保障体系实施方案。</w:t>
            </w:r>
          </w:p>
          <w:p>
            <w:pPr>
              <w:spacing w:line="360" w:lineRule="auto"/>
              <w:rPr>
                <w:rFonts w:ascii="Times New Roman" w:hAnsi="Times New Roman" w:eastAsia="仿宋_GB2312" w:cs="Times New Roman"/>
                <w:sz w:val="24"/>
                <w:szCs w:val="24"/>
              </w:rPr>
            </w:pPr>
            <w:r>
              <w:rPr>
                <w:rFonts w:hint="eastAsia" w:ascii="仿宋" w:hAnsi="仿宋" w:eastAsia="仿宋"/>
                <w:sz w:val="24"/>
                <w:szCs w:val="24"/>
              </w:rPr>
              <w:t>学院以人才培养为中心，充分发挥各方面的育人功能，初步形成了三全育人格局和质量文化。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（限10项）</w:t>
            </w: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02" w:type="dxa"/>
            <w:gridSpan w:val="3"/>
            <w:vAlign w:val="center"/>
          </w:tcPr>
          <w:p>
            <w:pPr>
              <w:spacing w:beforeLines="50" w:afterLines="50"/>
              <w:jc w:val="center"/>
              <w:rPr>
                <w:rFonts w:ascii="仿宋" w:hAnsi="仿宋" w:eastAsia="仿宋" w:cs="Times New Roman"/>
                <w:sz w:val="24"/>
                <w:szCs w:val="24"/>
              </w:rPr>
            </w:pPr>
            <w:r>
              <w:rPr>
                <w:rFonts w:hint="eastAsia" w:ascii="仿宋" w:hAnsi="仿宋" w:eastAsia="仿宋"/>
                <w:color w:val="000000"/>
                <w:sz w:val="24"/>
                <w:szCs w:val="24"/>
              </w:rPr>
              <w:t>太原工业学院关于贯彻落实新时代全国高等学校本科教育工作会议精神实施方案（太工党发〔2018〕71号）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02" w:type="dxa"/>
            <w:gridSpan w:val="3"/>
            <w:vAlign w:val="center"/>
          </w:tcPr>
          <w:p>
            <w:pPr>
              <w:spacing w:beforeLines="50" w:afterLines="50"/>
              <w:jc w:val="center"/>
              <w:rPr>
                <w:rFonts w:ascii="仿宋" w:hAnsi="仿宋" w:eastAsia="仿宋" w:cs="宋体"/>
                <w:color w:val="000000"/>
                <w:sz w:val="24"/>
                <w:szCs w:val="24"/>
              </w:rPr>
            </w:pPr>
            <w:r>
              <w:rPr>
                <w:rFonts w:hint="eastAsia" w:ascii="仿宋" w:hAnsi="仿宋" w:eastAsia="仿宋"/>
                <w:color w:val="000000"/>
                <w:sz w:val="24"/>
                <w:szCs w:val="24"/>
              </w:rPr>
              <w:t>太原工业学院关于推进协同创新的实施方案（太工党发〔2016〕64号）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402" w:type="dxa"/>
            <w:gridSpan w:val="3"/>
            <w:vAlign w:val="center"/>
          </w:tcPr>
          <w:p>
            <w:pPr>
              <w:spacing w:beforeLines="50" w:afterLines="50"/>
              <w:jc w:val="center"/>
              <w:rPr>
                <w:rFonts w:ascii="仿宋" w:hAnsi="仿宋" w:eastAsia="仿宋" w:cs="宋体"/>
                <w:color w:val="000000"/>
                <w:sz w:val="24"/>
                <w:szCs w:val="24"/>
              </w:rPr>
            </w:pPr>
            <w:r>
              <w:rPr>
                <w:rFonts w:hint="eastAsia" w:ascii="仿宋" w:hAnsi="仿宋" w:eastAsia="仿宋"/>
                <w:color w:val="000000"/>
                <w:sz w:val="24"/>
                <w:szCs w:val="24"/>
              </w:rPr>
              <w:t>太原工业学院优秀教学业绩和教学成果认定奖励办法（太工院发〔2018〕5号）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402" w:type="dxa"/>
            <w:gridSpan w:val="3"/>
            <w:vAlign w:val="center"/>
          </w:tcPr>
          <w:p>
            <w:pPr>
              <w:spacing w:beforeLines="50" w:afterLines="50"/>
              <w:jc w:val="center"/>
              <w:rPr>
                <w:rFonts w:ascii="仿宋" w:hAnsi="仿宋" w:eastAsia="仿宋" w:cs="宋体"/>
                <w:color w:val="000000"/>
                <w:sz w:val="24"/>
                <w:szCs w:val="24"/>
              </w:rPr>
            </w:pPr>
            <w:r>
              <w:rPr>
                <w:rFonts w:hint="eastAsia" w:ascii="仿宋" w:hAnsi="仿宋" w:eastAsia="仿宋"/>
                <w:color w:val="000000"/>
                <w:sz w:val="24"/>
                <w:szCs w:val="24"/>
              </w:rPr>
              <w:t>太原工业学院学生创新学分管理办法（太工院发〔2018〕97号）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402" w:type="dxa"/>
            <w:gridSpan w:val="3"/>
            <w:vAlign w:val="center"/>
          </w:tcPr>
          <w:p>
            <w:pPr>
              <w:spacing w:beforeLines="50" w:afterLines="50"/>
              <w:jc w:val="center"/>
              <w:rPr>
                <w:rFonts w:ascii="仿宋" w:hAnsi="仿宋" w:eastAsia="仿宋" w:cs="宋体"/>
                <w:color w:val="000000"/>
                <w:sz w:val="24"/>
                <w:szCs w:val="24"/>
              </w:rPr>
            </w:pPr>
            <w:r>
              <w:rPr>
                <w:rFonts w:hint="eastAsia" w:ascii="仿宋" w:hAnsi="仿宋" w:eastAsia="仿宋"/>
                <w:color w:val="000000"/>
                <w:sz w:val="24"/>
                <w:szCs w:val="24"/>
              </w:rPr>
              <w:t>太原工业学院关于推进信息化教学，实施课程过程化考核的指导意见（太工院发〔2018〕95号 ）</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4402" w:type="dxa"/>
            <w:gridSpan w:val="3"/>
            <w:vAlign w:val="center"/>
          </w:tcPr>
          <w:p>
            <w:pPr>
              <w:spacing w:beforeLines="50" w:afterLines="50"/>
              <w:jc w:val="center"/>
              <w:rPr>
                <w:rFonts w:ascii="仿宋" w:hAnsi="仿宋" w:eastAsia="仿宋" w:cs="宋体"/>
                <w:color w:val="000000"/>
                <w:sz w:val="24"/>
                <w:szCs w:val="24"/>
              </w:rPr>
            </w:pPr>
            <w:r>
              <w:rPr>
                <w:rFonts w:hint="eastAsia" w:ascii="仿宋" w:hAnsi="仿宋" w:eastAsia="仿宋"/>
                <w:color w:val="000000"/>
                <w:sz w:val="24"/>
                <w:szCs w:val="24"/>
              </w:rPr>
              <w:t>太原工业学院学生导师制实施办法（太工院发〔2019〕39号）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4402" w:type="dxa"/>
            <w:gridSpan w:val="3"/>
            <w:vAlign w:val="center"/>
          </w:tcPr>
          <w:p>
            <w:pPr>
              <w:spacing w:beforeLines="50" w:afterLines="50"/>
              <w:jc w:val="center"/>
              <w:rPr>
                <w:rFonts w:ascii="仿宋" w:hAnsi="仿宋" w:eastAsia="仿宋"/>
                <w:color w:val="000000"/>
                <w:sz w:val="24"/>
                <w:szCs w:val="24"/>
              </w:rPr>
            </w:pPr>
            <w:r>
              <w:rPr>
                <w:rFonts w:hint="eastAsia" w:ascii="仿宋" w:hAnsi="仿宋" w:eastAsia="仿宋"/>
                <w:color w:val="000000"/>
                <w:sz w:val="24"/>
                <w:szCs w:val="24"/>
              </w:rPr>
              <w:t>太原工业学院应用性课程建设实施方案</w:t>
            </w:r>
          </w:p>
          <w:p>
            <w:pPr>
              <w:spacing w:beforeLines="50" w:afterLines="50"/>
              <w:jc w:val="center"/>
              <w:rPr>
                <w:rFonts w:ascii="仿宋" w:hAnsi="仿宋" w:eastAsia="仿宋" w:cs="Times New Roman"/>
                <w:sz w:val="24"/>
                <w:szCs w:val="24"/>
              </w:rPr>
            </w:pPr>
            <w:r>
              <w:rPr>
                <w:rFonts w:hint="eastAsia" w:ascii="仿宋" w:hAnsi="仿宋" w:eastAsia="仿宋"/>
                <w:color w:val="000000"/>
                <w:sz w:val="24"/>
                <w:szCs w:val="24"/>
              </w:rPr>
              <w:t>（太工院发【2017】55号）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4402" w:type="dxa"/>
            <w:gridSpan w:val="3"/>
            <w:vAlign w:val="center"/>
          </w:tcPr>
          <w:p>
            <w:pPr>
              <w:spacing w:beforeLines="50" w:afterLines="50"/>
              <w:jc w:val="center"/>
              <w:rPr>
                <w:rFonts w:ascii="仿宋" w:hAnsi="仿宋" w:eastAsia="仿宋" w:cs="Times New Roman"/>
                <w:sz w:val="24"/>
                <w:szCs w:val="24"/>
              </w:rPr>
            </w:pPr>
            <w:r>
              <w:rPr>
                <w:rFonts w:hint="eastAsia" w:ascii="仿宋" w:hAnsi="仿宋" w:eastAsia="仿宋"/>
                <w:color w:val="000000"/>
                <w:sz w:val="24"/>
                <w:szCs w:val="24"/>
              </w:rPr>
              <w:t>太原工业学院本科专业人才培养方案修订意见</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4402" w:type="dxa"/>
            <w:gridSpan w:val="3"/>
            <w:vAlign w:val="center"/>
          </w:tcPr>
          <w:p>
            <w:pPr>
              <w:spacing w:beforeLines="50" w:afterLines="50"/>
              <w:jc w:val="center"/>
              <w:rPr>
                <w:rFonts w:ascii="仿宋" w:hAnsi="仿宋" w:eastAsia="仿宋" w:cs="Times New Roman"/>
                <w:sz w:val="24"/>
                <w:szCs w:val="24"/>
              </w:rPr>
            </w:pPr>
            <w:r>
              <w:rPr>
                <w:rFonts w:hint="eastAsia" w:ascii="仿宋" w:hAnsi="仿宋" w:eastAsia="仿宋" w:cs="Times New Roman"/>
                <w:sz w:val="24"/>
                <w:szCs w:val="24"/>
              </w:rPr>
              <w:t>太原工业学院关于加强创新创业教育工作实施细则（太工院发【2018】33号）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4402" w:type="dxa"/>
            <w:gridSpan w:val="3"/>
            <w:vAlign w:val="center"/>
          </w:tcPr>
          <w:p>
            <w:pPr>
              <w:spacing w:beforeLines="50" w:afterLines="50"/>
              <w:jc w:val="center"/>
              <w:rPr>
                <w:rFonts w:ascii="仿宋" w:hAnsi="仿宋" w:eastAsia="仿宋" w:cs="Times New Roman"/>
                <w:sz w:val="24"/>
                <w:szCs w:val="24"/>
              </w:rPr>
            </w:pPr>
            <w:r>
              <w:rPr>
                <w:rFonts w:hint="eastAsia" w:ascii="仿宋" w:hAnsi="仿宋" w:eastAsia="仿宋" w:cs="Times New Roman"/>
                <w:sz w:val="24"/>
                <w:szCs w:val="24"/>
              </w:rPr>
              <w:t>太原工业学院主要教学环节质量标准（太工院发【2014】86号）</w:t>
            </w:r>
          </w:p>
        </w:tc>
        <w:tc>
          <w:tcPr>
            <w:tcW w:w="1276" w:type="dxa"/>
            <w:gridSpan w:val="2"/>
            <w:vAlign w:val="center"/>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2014-12</w:t>
            </w:r>
          </w:p>
        </w:tc>
      </w:tr>
    </w:tbl>
    <w:p>
      <w:pPr>
        <w:rPr>
          <w:rFonts w:ascii="Times New Roman" w:hAnsi="Times New Roman" w:eastAsia="黑体" w:cs="Times New Roman"/>
          <w:bCs/>
          <w:sz w:val="32"/>
          <w:szCs w:val="32"/>
        </w:rPr>
      </w:pPr>
      <w:r>
        <w:rPr>
          <w:rFonts w:ascii="Times New Roman" w:hAnsi="Times New Roman" w:eastAsia="黑体" w:cs="Times New Roman"/>
          <w:sz w:val="36"/>
          <w:szCs w:val="36"/>
        </w:rPr>
        <w:br w:type="page"/>
      </w:r>
      <w:r>
        <w:rPr>
          <w:rFonts w:ascii="Times New Roman" w:hAnsi="Times New Roman" w:eastAsia="黑体" w:cs="Times New Roman"/>
          <w:sz w:val="32"/>
          <w:szCs w:val="32"/>
        </w:rPr>
        <w:t>二、</w:t>
      </w:r>
      <w:r>
        <w:rPr>
          <w:rFonts w:ascii="Times New Roman" w:hAnsi="Times New Roman" w:eastAsia="黑体" w:cs="Times New Roman"/>
          <w:bCs/>
          <w:sz w:val="32"/>
          <w:szCs w:val="32"/>
        </w:rPr>
        <w:t>报送专业情况</w:t>
      </w:r>
    </w:p>
    <w:p>
      <w:pPr>
        <w:rPr>
          <w:rFonts w:ascii="Times New Roman" w:hAnsi="Times New Roman" w:eastAsia="楷体" w:cs="Times New Roman"/>
          <w:b/>
          <w:sz w:val="32"/>
          <w:szCs w:val="32"/>
        </w:rPr>
      </w:pPr>
      <w:r>
        <w:rPr>
          <w:rFonts w:ascii="Times New Roman" w:hAnsi="Times New Roman" w:eastAsia="楷体" w:cs="Times New Roman"/>
          <w:b/>
          <w:sz w:val="32"/>
          <w:szCs w:val="32"/>
        </w:rPr>
        <w:t>1.专业基本情况</w:t>
      </w: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财务管理</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四年</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管理学学士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专业设立时间</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2013年</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经济与管理系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164.5</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bl>
    <w:p>
      <w:pPr>
        <w:rPr>
          <w:rFonts w:ascii="Times New Roman" w:hAnsi="Times New Roman" w:eastAsia="仿宋" w:cs="Times New Roman"/>
          <w:sz w:val="24"/>
          <w:szCs w:val="24"/>
        </w:rPr>
      </w:pPr>
      <w:r>
        <w:rPr>
          <w:rFonts w:ascii="Times New Roman" w:hAnsi="Times New Roman" w:eastAsia="仿宋" w:cs="Times New Roman"/>
          <w:sz w:val="24"/>
          <w:szCs w:val="24"/>
        </w:rPr>
        <w:t>注：以上数据填报口径为2018-2019学年数据。</w:t>
      </w:r>
    </w:p>
    <w:p>
      <w:pPr>
        <w:rPr>
          <w:rFonts w:ascii="Times New Roman" w:hAnsi="Times New Roman" w:eastAsia="楷体" w:cs="Times New Roman"/>
          <w:b/>
          <w:sz w:val="32"/>
          <w:szCs w:val="32"/>
        </w:rPr>
      </w:pPr>
      <w:r>
        <w:rPr>
          <w:rFonts w:ascii="Times New Roman" w:hAnsi="Times New Roman" w:eastAsia="楷体" w:cs="Times New Roman"/>
          <w:b/>
          <w:sz w:val="32"/>
          <w:szCs w:val="32"/>
        </w:rPr>
        <w:t>2.专业负责人基本情况</w:t>
      </w:r>
    </w:p>
    <w:tbl>
      <w:tblPr>
        <w:tblStyle w:val="6"/>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张勇格</w:t>
            </w: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女</w:t>
            </w: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副教授</w:t>
            </w: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1970.05</w:t>
            </w: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研究方向：</w:t>
            </w:r>
          </w:p>
          <w:p>
            <w:pPr>
              <w:spacing w:line="40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财务会计核算</w:t>
            </w:r>
          </w:p>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主讲课程：</w:t>
            </w:r>
          </w:p>
          <w:p>
            <w:pPr>
              <w:spacing w:line="40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中级财务会计、成本会计、基础会计</w:t>
            </w: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3.近3年本专业毕业生就业（升学）情况</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120</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198</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138</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2016年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236</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194</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bl>
    <w:p>
      <w:pPr>
        <w:jc w:val="left"/>
        <w:rPr>
          <w:rFonts w:ascii="Times New Roman" w:hAnsi="Times New Roman" w:eastAsia="宋体" w:cs="Times New Roman"/>
          <w:szCs w:val="24"/>
        </w:rPr>
      </w:pPr>
      <w:r>
        <w:rPr>
          <w:rFonts w:ascii="Times New Roman" w:hAnsi="Times New Roman" w:eastAsia="楷体" w:cs="Times New Roman"/>
          <w:b/>
          <w:kern w:val="0"/>
          <w:sz w:val="32"/>
          <w:szCs w:val="32"/>
        </w:rPr>
        <w:t>4.近3年本专业</w:t>
      </w:r>
      <w:r>
        <w:rPr>
          <w:rFonts w:ascii="Times New Roman" w:hAnsi="Times New Roman" w:eastAsia="楷体" w:cs="Times New Roman"/>
          <w:b/>
          <w:sz w:val="32"/>
          <w:szCs w:val="32"/>
        </w:rPr>
        <w:t>获省部级及以上奖励和支持情况</w:t>
      </w:r>
    </w:p>
    <w:tbl>
      <w:tblPr>
        <w:tblStyle w:val="6"/>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76"/>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8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教学成果奖</w:t>
            </w:r>
          </w:p>
        </w:tc>
        <w:tc>
          <w:tcPr>
            <w:tcW w:w="8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教学团队</w:t>
            </w: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专业建设</w:t>
            </w: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课程与教材</w:t>
            </w:r>
          </w:p>
        </w:tc>
        <w:tc>
          <w:tcPr>
            <w:tcW w:w="876" w:type="dxa"/>
            <w:vAlign w:val="center"/>
          </w:tcPr>
          <w:p>
            <w:pPr>
              <w:spacing w:beforeLines="20" w:afterLines="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spacing w:beforeLines="20" w:afterLines="20"/>
              <w:rPr>
                <w:rFonts w:ascii="Times New Roman" w:hAnsi="Times New Roman" w:eastAsia="仿宋_GB2312" w:cs="Times New Roman"/>
                <w:sz w:val="24"/>
                <w:szCs w:val="24"/>
              </w:rPr>
            </w:pPr>
          </w:p>
        </w:tc>
        <w:tc>
          <w:tcPr>
            <w:tcW w:w="1723" w:type="dxa"/>
            <w:vAlign w:val="center"/>
          </w:tcPr>
          <w:p>
            <w:pPr>
              <w:spacing w:beforeLines="20"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Lines="20" w:afterLines="20"/>
              <w:rPr>
                <w:rFonts w:ascii="Times New Roman" w:hAnsi="Times New Roman" w:eastAsia="仿宋_GB2312" w:cs="Times New Roman"/>
                <w:sz w:val="24"/>
                <w:szCs w:val="24"/>
              </w:rPr>
            </w:pPr>
          </w:p>
        </w:tc>
        <w:tc>
          <w:tcPr>
            <w:tcW w:w="1723" w:type="dxa"/>
            <w:vAlign w:val="center"/>
          </w:tcPr>
          <w:p>
            <w:pPr>
              <w:spacing w:beforeLines="20"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spacing w:beforeLines="20" w:afterLines="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07" w:type="dxa"/>
            <w:vAlign w:val="center"/>
          </w:tcPr>
          <w:p>
            <w:pPr>
              <w:spacing w:beforeLines="20" w:afterLines="20"/>
              <w:rPr>
                <w:rFonts w:ascii="Times New Roman" w:hAnsi="Times New Roman" w:eastAsia="仿宋_GB2312" w:cs="Times New Roman"/>
                <w:sz w:val="24"/>
                <w:szCs w:val="24"/>
              </w:rPr>
            </w:pPr>
          </w:p>
        </w:tc>
        <w:tc>
          <w:tcPr>
            <w:tcW w:w="1723" w:type="dxa"/>
            <w:vAlign w:val="center"/>
          </w:tcPr>
          <w:p>
            <w:pPr>
              <w:spacing w:beforeLines="20"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教学平台</w:t>
            </w:r>
          </w:p>
        </w:tc>
        <w:tc>
          <w:tcPr>
            <w:tcW w:w="8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经济与管理虚拟仿真实训教学中心</w:t>
            </w:r>
          </w:p>
        </w:tc>
        <w:tc>
          <w:tcPr>
            <w:tcW w:w="1723"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山西省高等学校实验教学示范中心</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2014</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教学改革项目</w:t>
            </w:r>
          </w:p>
        </w:tc>
        <w:tc>
          <w:tcPr>
            <w:tcW w:w="876" w:type="dxa"/>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校企合作案例教学在成本会计中的应用</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山西省教学改革项目</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76" w:type="dxa"/>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（限50项）</w:t>
            </w:r>
          </w:p>
        </w:tc>
        <w:tc>
          <w:tcPr>
            <w:tcW w:w="876" w:type="dxa"/>
            <w:vAlign w:val="center"/>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国家奖学金</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李慧</w:t>
            </w:r>
          </w:p>
        </w:tc>
        <w:tc>
          <w:tcPr>
            <w:tcW w:w="850"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2018.09</w:t>
            </w:r>
          </w:p>
        </w:tc>
        <w:tc>
          <w:tcPr>
            <w:tcW w:w="785"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w:t>
            </w:r>
          </w:p>
        </w:tc>
        <w:tc>
          <w:tcPr>
            <w:tcW w:w="1279"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76" w:type="dxa"/>
            <w:vAlign w:val="center"/>
          </w:tcPr>
          <w:p>
            <w:pPr>
              <w:spacing w:beforeLines="30"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国家励志奖学金</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赵立芸、薛晓君、栗娟、刘炯灼等</w:t>
            </w:r>
          </w:p>
        </w:tc>
        <w:tc>
          <w:tcPr>
            <w:tcW w:w="850"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2018.09</w:t>
            </w:r>
          </w:p>
        </w:tc>
        <w:tc>
          <w:tcPr>
            <w:tcW w:w="785"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w:t>
            </w: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76"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“外研社杯”全国英语写作大赛（山西赛区）</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申晏妮</w:t>
            </w:r>
          </w:p>
        </w:tc>
        <w:tc>
          <w:tcPr>
            <w:tcW w:w="850"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w:t>
            </w:r>
          </w:p>
        </w:tc>
        <w:tc>
          <w:tcPr>
            <w:tcW w:w="785"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特等奖</w:t>
            </w:r>
          </w:p>
        </w:tc>
        <w:tc>
          <w:tcPr>
            <w:tcW w:w="1279"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76"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“外研社杯”全国英语写作大赛</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申晏妮</w:t>
            </w:r>
          </w:p>
        </w:tc>
        <w:tc>
          <w:tcPr>
            <w:tcW w:w="850" w:type="dxa"/>
            <w:vAlign w:val="center"/>
          </w:tcPr>
          <w:p>
            <w:pPr>
              <w:spacing w:beforeLines="30" w:afterLines="3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785" w:type="dxa"/>
            <w:vAlign w:val="center"/>
          </w:tcPr>
          <w:p>
            <w:pPr>
              <w:spacing w:beforeLines="30" w:afterLines="3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279"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76"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“外研社杯”全国英语写作大赛</w:t>
            </w:r>
          </w:p>
        </w:tc>
        <w:tc>
          <w:tcPr>
            <w:tcW w:w="1723"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申晏妮</w:t>
            </w:r>
          </w:p>
        </w:tc>
        <w:tc>
          <w:tcPr>
            <w:tcW w:w="850"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w:t>
            </w:r>
          </w:p>
        </w:tc>
        <w:tc>
          <w:tcPr>
            <w:tcW w:w="785"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279" w:type="dxa"/>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r>
        <w:rPr>
          <w:rFonts w:ascii="Times New Roman" w:hAnsi="Times New Roman" w:eastAsia="宋体" w:cs="Times New Roman"/>
          <w:szCs w:val="24"/>
        </w:rPr>
        <w:t>注：1.专业建设指本专业获得省部级特色专业、品牌专业、一流专业等建设项目支持情况。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2.其他指本专业教师和学生获得的省部级及以上教育教学奖励和支持情况。</w:t>
      </w:r>
    </w:p>
    <w:p>
      <w:pPr>
        <w:widowControl/>
        <w:jc w:val="left"/>
        <w:rPr>
          <w:rFonts w:ascii="Times New Roman" w:hAnsi="Times New Roman" w:eastAsia="楷体" w:cs="Times New Roman"/>
          <w:b/>
          <w:kern w:val="0"/>
          <w:sz w:val="32"/>
          <w:szCs w:val="32"/>
        </w:rPr>
      </w:pPr>
      <w:r>
        <w:rPr>
          <w:rFonts w:ascii="Times New Roman" w:hAnsi="Times New Roman" w:eastAsia="宋体" w:cs="Times New Roman"/>
          <w:szCs w:val="24"/>
        </w:rPr>
        <w:br w:type="page"/>
      </w:r>
      <w:r>
        <w:rPr>
          <w:rFonts w:ascii="Times New Roman" w:hAnsi="Times New Roman" w:eastAsia="楷体" w:cs="Times New Roman"/>
          <w:b/>
          <w:kern w:val="0"/>
          <w:sz w:val="32"/>
          <w:szCs w:val="32"/>
        </w:rPr>
        <w:t>5.专业定位、历史沿革和特色优势</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0" w:hRule="atLeast"/>
        </w:trPr>
        <w:tc>
          <w:tcPr>
            <w:tcW w:w="8296" w:type="dxa"/>
          </w:tcPr>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专业定位：</w:t>
            </w:r>
            <w:r>
              <w:rPr>
                <w:rFonts w:hint="eastAsia" w:ascii="仿宋" w:hAnsi="仿宋" w:eastAsia="仿宋" w:cs="Times New Roman"/>
                <w:bCs/>
                <w:sz w:val="24"/>
                <w:szCs w:val="24"/>
              </w:rPr>
              <w:t>本专业培养践行社会主义核心价值观，具有社会责任感、公共意识和创新精神，适应现代市场经济建设需要，具有人文精神、科学素养和诚信品质，掌握财务核算和财务管理理论及管理方法，具有长远发展视野、本土情怀、创新意识、团队精神和沟通技能，能够在企事业单位、行政部门等机构的从事财务核算、财务管理工作的应用型、复合型、创新型人才。</w:t>
            </w:r>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历史沿革：</w:t>
            </w:r>
            <w:r>
              <w:rPr>
                <w:rFonts w:hint="eastAsia" w:ascii="仿宋" w:hAnsi="仿宋" w:eastAsia="仿宋" w:cs="Times New Roman"/>
                <w:bCs/>
                <w:sz w:val="24"/>
                <w:szCs w:val="24"/>
              </w:rPr>
              <w:t>经济与管理系始建于1993年，该系成立后开办的第一个专业是：财经管理，该专业在1996年前的学制是两年制的；从1996年开始改为三年制；因该专业的培养方案主要以会计专业课程为主要内容，为此于2001年，将财经管理专业名称改为会计学，学制仍为三年；2006年，我院与加拿大北大西洋学院开展合作办学，一直到2009年都是以中加合作办学的形式进行的三年制会计学专科专业教学，2010年考虑到中加合作专业学制对接的需要，从这一年起，将会计学专科专业的学制改为了两年制。2012年根据学院发展和学科发展的实际情况,申请了财务管理本科专业,2013年获批,并于同年开始招生至今。</w:t>
            </w:r>
          </w:p>
          <w:p>
            <w:pPr>
              <w:spacing w:line="360" w:lineRule="auto"/>
              <w:ind w:firstLine="482" w:firstLineChars="200"/>
              <w:jc w:val="left"/>
              <w:rPr>
                <w:rFonts w:ascii="Times New Roman" w:hAnsi="Times New Roman" w:eastAsia="仿宋" w:cs="Times New Roman"/>
                <w:bCs/>
                <w:szCs w:val="21"/>
              </w:rPr>
            </w:pPr>
            <w:r>
              <w:rPr>
                <w:rFonts w:hint="eastAsia" w:ascii="仿宋" w:hAnsi="仿宋" w:eastAsia="仿宋" w:cs="Times New Roman"/>
                <w:b/>
                <w:bCs/>
                <w:sz w:val="24"/>
                <w:szCs w:val="24"/>
              </w:rPr>
              <w:t>特色优势：</w:t>
            </w:r>
            <w:r>
              <w:rPr>
                <w:rFonts w:hint="eastAsia" w:ascii="仿宋" w:hAnsi="仿宋" w:eastAsia="仿宋" w:cs="Times New Roman"/>
                <w:bCs/>
                <w:sz w:val="24"/>
                <w:szCs w:val="24"/>
              </w:rPr>
              <w:t>遵循学院办学特色和目标定位，人才培养充分体现“应用型”特点，注重学生专业应用能力的培养；创建多层次、多样化和多方位的实践教学体系；部分专业课程进行应用性课程改革，体现能力培养和思政课程的特色；多种途径改善师资队伍的学历和支撑结构，组建一支教学科研能力优秀的师资队伍。</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6.深化专业综合改革的主要举措和成效</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360" w:lineRule="auto"/>
              <w:jc w:val="left"/>
              <w:rPr>
                <w:rFonts w:ascii="仿宋" w:hAnsi="仿宋" w:eastAsia="仿宋" w:cs="Times New Roman"/>
                <w:b/>
                <w:bCs/>
                <w:sz w:val="24"/>
                <w:szCs w:val="24"/>
              </w:rPr>
            </w:pPr>
            <w:r>
              <w:rPr>
                <w:rFonts w:hint="eastAsia" w:ascii="仿宋" w:hAnsi="仿宋" w:eastAsia="仿宋" w:cs="Times New Roman"/>
                <w:b/>
                <w:bCs/>
                <w:sz w:val="24"/>
                <w:szCs w:val="24"/>
              </w:rPr>
              <w:t>主要举措:</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1）根据学院办学定位和621全国本科教育会议精神，积极修改调整2018版专业培养方案。2018版专业培养方案更加突出“应用型本科”院校对学生应用能力培养的特色和人才培养多样化的特点，注重校企合作，加强学生综合素质的培养。（2）积极探索人才培养模式，践行“3+1人才培养模式”在本专业学生培养中的应用，联合企业针对性地开展学生职业素养的养成活动。同时结合省人社厅开展的“全民素质提升工程”，鼓励学生积极参与“1+X”证书的培训活动，提高学生的综合素质，培养复合型人才。（3）根据本科教学改革的思路，参与学院开展的“应用性课程建设”活动，探索新的教学方法、利用现代化的教学手段，丰富教学活动的形式，创新课程考核体系，改善“一考定成绩”的局面，使学生真正热爱自己的专业，自觉学习专业知识，不断提高专业水平。（4）优化办学条件，加大教育资源建设的力度，为人才培养提供保障。结合应用型本科院校建设的实际，积极鼓励专业课教师向双师型教师发展，增加学院教学的软实力。学院也在加快基础设施和实验设施建设和加大实验场所投资，改善专业办学硬实力。</w:t>
            </w:r>
          </w:p>
          <w:p>
            <w:pPr>
              <w:spacing w:line="360" w:lineRule="auto"/>
              <w:jc w:val="left"/>
              <w:rPr>
                <w:rFonts w:ascii="仿宋" w:hAnsi="仿宋" w:eastAsia="仿宋" w:cs="Times New Roman"/>
                <w:b/>
                <w:bCs/>
                <w:sz w:val="24"/>
                <w:szCs w:val="24"/>
              </w:rPr>
            </w:pPr>
            <w:r>
              <w:rPr>
                <w:rFonts w:hint="eastAsia" w:ascii="仿宋" w:hAnsi="仿宋" w:eastAsia="仿宋" w:cs="Times New Roman"/>
                <w:b/>
                <w:bCs/>
                <w:sz w:val="24"/>
                <w:szCs w:val="24"/>
              </w:rPr>
              <w:t>主要成效:</w:t>
            </w:r>
          </w:p>
          <w:p>
            <w:pPr>
              <w:spacing w:line="360" w:lineRule="auto"/>
              <w:ind w:firstLine="480" w:firstLineChars="200"/>
              <w:jc w:val="left"/>
              <w:rPr>
                <w:rFonts w:ascii="Times New Roman" w:hAnsi="Times New Roman" w:eastAsia="仿宋_GB2312" w:cs="Times New Roman"/>
                <w:b/>
                <w:bCs/>
                <w:szCs w:val="21"/>
              </w:rPr>
            </w:pPr>
            <w:r>
              <w:rPr>
                <w:rFonts w:hint="eastAsia" w:ascii="仿宋" w:hAnsi="仿宋" w:eastAsia="仿宋" w:cs="Times New Roman"/>
                <w:bCs/>
                <w:sz w:val="24"/>
                <w:szCs w:val="24"/>
              </w:rPr>
              <w:t>（1）2018版培养方案修订，相关配套课程20多门专业课程的教学大纲的修订。修订后2018版培养方案专业特色和专业能力更加鲜明，人才培养目标更加明确，与教育部和学院的办学宗旨更加吻合，学生的专业能力的重点和职业素养培养的特点更加突出。（2）“3+1”人才培养模式和校企合作培养人才的观念更加明确。在2018版培养方案中，专业方向划分中有一个专门列示为 “校企合作模块”，从制度上保证了校企联合培养模式的实施。同时，学院还跟企业合作，对学生开展了“1+X”证书的培养，计划在毕业实习环节增加山西省人社厅的“全民技能提升工程”相关职业资格证书的培训活动，加大了学生职业能力的力度，增加了学生在就业环节的竞争力。（3）教学改革方面2017年9月开始学院多次组织专业课教师申报“应用性课程教学改革”项目的申报，鼓励广大专业课教师进行教学改革，以实现教学形式和考核方式的多样化、教学内容中理论与实践的联系性，聘请企业的实务专家参与教学活动，将实践中的项目作为案例分享给学生，提高学生对理论在实践中应用的感性认识，提高学生学习专业课的积极性。目前财务管理专业已申报的应用性课程有5门，其中专业核心课程有3三门。（4）人才培养质量不断提高，师资队伍得到进一步优化。系部进一步建立和完善了教学质量保障体系，多层次、多角度监督和提高人才培养质量。同时财务专业师资队伍也更加合理，目前学历结构表现为100%硕士化，职称结构中，高级职称比例为45%，双师型教师比例35%，在读博士2人。外聘校外专家5人。</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7.加强师资队伍和基层教学组织建设的主要举措及成效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360" w:lineRule="auto"/>
              <w:jc w:val="left"/>
              <w:rPr>
                <w:rFonts w:ascii="仿宋" w:hAnsi="仿宋" w:eastAsia="仿宋" w:cs="Times New Roman"/>
                <w:b/>
                <w:bCs/>
                <w:sz w:val="24"/>
                <w:szCs w:val="24"/>
              </w:rPr>
            </w:pPr>
          </w:p>
          <w:p>
            <w:pPr>
              <w:spacing w:line="360" w:lineRule="auto"/>
              <w:jc w:val="left"/>
              <w:rPr>
                <w:rFonts w:ascii="仿宋" w:hAnsi="仿宋" w:eastAsia="仿宋" w:cs="Times New Roman"/>
                <w:b/>
                <w:bCs/>
                <w:sz w:val="24"/>
                <w:szCs w:val="24"/>
              </w:rPr>
            </w:pPr>
            <w:r>
              <w:rPr>
                <w:rFonts w:hint="eastAsia" w:ascii="仿宋" w:hAnsi="仿宋" w:eastAsia="仿宋" w:cs="Times New Roman"/>
                <w:b/>
                <w:bCs/>
                <w:sz w:val="24"/>
                <w:szCs w:val="24"/>
              </w:rPr>
              <w:t>师资队伍建设主要举措及成效：</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1）组成专业科研团队，积极开展各类科研项目申报。2017-2018年，本专业教师先后发表论文20余篇，其中核心论文5篇，省级论文21篇。出版专著2项。申报省级教研项目1项。以系部为单位组织“经管学术沙龙”十余次，建立了良好的科研氛围。</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（2）鼓励专业课教师参加学术交流和短期进修，不断提高自身的科研和教学业务能力。近三年，专业课教师参与学术交流活动12人次，国内访问学者2人次。</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（3）多途径引进人才，鼓励教师攻读博士，申报职称，不断提高师资队伍的综合水平。近三年以来，专业教师队伍中，新聘任副教授3人，新增双师型教师1人，新增在读博士1人，新增博士1人。</w:t>
            </w:r>
          </w:p>
          <w:p>
            <w:pPr>
              <w:spacing w:line="360" w:lineRule="auto"/>
              <w:ind w:firstLine="480" w:firstLineChars="200"/>
              <w:jc w:val="left"/>
              <w:rPr>
                <w:rFonts w:ascii="仿宋" w:hAnsi="仿宋" w:eastAsia="仿宋" w:cs="Times New Roman"/>
                <w:bCs/>
                <w:sz w:val="24"/>
                <w:szCs w:val="24"/>
              </w:rPr>
            </w:pPr>
          </w:p>
          <w:p>
            <w:pPr>
              <w:spacing w:line="360" w:lineRule="auto"/>
              <w:jc w:val="left"/>
              <w:rPr>
                <w:rFonts w:ascii="仿宋" w:hAnsi="仿宋" w:eastAsia="仿宋" w:cs="Times New Roman"/>
                <w:b/>
                <w:bCs/>
                <w:sz w:val="24"/>
                <w:szCs w:val="24"/>
              </w:rPr>
            </w:pPr>
            <w:r>
              <w:rPr>
                <w:rFonts w:hint="eastAsia" w:ascii="仿宋" w:hAnsi="仿宋" w:eastAsia="仿宋" w:cs="Times New Roman"/>
                <w:b/>
                <w:bCs/>
                <w:sz w:val="24"/>
                <w:szCs w:val="24"/>
              </w:rPr>
              <w:t>基层教学组织建设的主要措施及成效：</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（1）进一步完善系部教学管理、教学监督的制度建设，明确相应的措施和办法，突出系部组织在专业建设中的组织和管理作用。比如系部领导听课、专业负责人听课、教学检查等制度的完善和落实。</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2）积极组织教研活动，开展教学方法研究和教学改革研究。近三年，本专业教师先后申报学院应用性课程建设改革项目6项，省级教研项目1项，发表省级教研论文2篇。结合学院2018年工作安排，讨论修订了2018版财务管理专业人才培养方案，并讨论修订了2018版培养方案相关专业课程教学大纲的修订，明确了各门课程教学内容与学生专业能力培养的关系，确定了课程思政在课程教学过程中的地位和实施思路，为2018版培养方案的实施提供了制度保障。</w:t>
            </w:r>
          </w:p>
          <w:p>
            <w:pPr>
              <w:spacing w:line="0" w:lineRule="atLeast"/>
              <w:jc w:val="left"/>
              <w:rPr>
                <w:rFonts w:ascii="Times New Roman" w:hAnsi="Times New Roman" w:eastAsia="仿宋_GB2312" w:cs="Times New Roman"/>
                <w:b/>
                <w:bCs/>
                <w:szCs w:val="21"/>
              </w:rPr>
            </w:pP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8.加强专业教学质量保障体系建设的主要举措和成效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Times New Roman" w:hAnsi="Times New Roman" w:eastAsia="仿宋" w:cs="Times New Roman"/>
                <w:bCs/>
                <w:szCs w:val="21"/>
              </w:rPr>
            </w:pPr>
          </w:p>
          <w:p>
            <w:pPr>
              <w:spacing w:line="360" w:lineRule="auto"/>
              <w:ind w:firstLine="422" w:firstLineChars="200"/>
              <w:jc w:val="left"/>
              <w:rPr>
                <w:rFonts w:ascii="仿宋" w:hAnsi="仿宋" w:eastAsia="仿宋" w:cs="Times New Roman"/>
                <w:bCs/>
                <w:szCs w:val="21"/>
              </w:rPr>
            </w:pPr>
            <w:r>
              <w:rPr>
                <w:rFonts w:hint="eastAsia" w:ascii="仿宋" w:hAnsi="仿宋" w:eastAsia="仿宋" w:cs="Times New Roman"/>
                <w:b/>
                <w:bCs/>
                <w:szCs w:val="21"/>
              </w:rPr>
              <w:t>（1）专业教学质量管理体系。</w:t>
            </w:r>
            <w:r>
              <w:rPr>
                <w:rFonts w:hint="eastAsia" w:ascii="仿宋" w:hAnsi="仿宋" w:eastAsia="仿宋" w:cs="Times New Roman"/>
                <w:bCs/>
                <w:szCs w:val="21"/>
              </w:rPr>
              <w:t>以系部为单位成立教学指导委员会，与学院教学指导委员会一起对专业教学质量实施监督检查。以系部主任为第一责任人，成员由系部教学副主任。书记和各专业负责人共同组成，保障教学活动的顺利进行和教学质量检查。</w:t>
            </w:r>
          </w:p>
          <w:p>
            <w:pPr>
              <w:spacing w:line="360" w:lineRule="auto"/>
              <w:ind w:firstLine="422" w:firstLineChars="200"/>
              <w:jc w:val="left"/>
              <w:rPr>
                <w:rFonts w:ascii="仿宋" w:hAnsi="仿宋" w:eastAsia="仿宋" w:cs="Times New Roman"/>
                <w:bCs/>
                <w:szCs w:val="21"/>
              </w:rPr>
            </w:pPr>
            <w:r>
              <w:rPr>
                <w:rFonts w:hint="eastAsia" w:ascii="仿宋" w:hAnsi="仿宋" w:eastAsia="仿宋" w:cs="Times New Roman"/>
                <w:b/>
                <w:bCs/>
                <w:szCs w:val="21"/>
              </w:rPr>
              <w:t>（2）专业教学质量标准体系。</w:t>
            </w:r>
            <w:r>
              <w:rPr>
                <w:rFonts w:hint="eastAsia" w:ascii="仿宋" w:hAnsi="仿宋" w:eastAsia="仿宋" w:cs="Times New Roman"/>
                <w:bCs/>
                <w:szCs w:val="21"/>
              </w:rPr>
              <w:t>以专业培养方案、课程教学大纲、教师教学工作规范、教学管理办法等为标准，形成完善的教学质量标准体系，为执行体系提供支持。主要成效即2018版专业培养方案、20多门课程的教学大纲、经济与管理系教学管理文件汇编等。</w:t>
            </w:r>
          </w:p>
          <w:p>
            <w:pPr>
              <w:spacing w:line="360" w:lineRule="auto"/>
              <w:ind w:firstLine="422" w:firstLineChars="200"/>
              <w:jc w:val="left"/>
              <w:rPr>
                <w:rFonts w:ascii="仿宋" w:hAnsi="仿宋" w:eastAsia="仿宋" w:cs="Times New Roman"/>
                <w:bCs/>
                <w:szCs w:val="21"/>
              </w:rPr>
            </w:pPr>
            <w:r>
              <w:rPr>
                <w:rFonts w:hint="eastAsia" w:ascii="仿宋" w:hAnsi="仿宋" w:eastAsia="仿宋" w:cs="Times New Roman"/>
                <w:b/>
                <w:bCs/>
                <w:szCs w:val="21"/>
              </w:rPr>
              <w:t>（3）专业教学质量执行体系。</w:t>
            </w:r>
            <w:r>
              <w:rPr>
                <w:rFonts w:hint="eastAsia" w:ascii="仿宋" w:hAnsi="仿宋" w:eastAsia="仿宋" w:cs="Times New Roman"/>
                <w:bCs/>
                <w:szCs w:val="21"/>
              </w:rPr>
              <w:t>以学院的教学质量标准体系为依据，配合学院评建处开展各种教学检查。目前能够坚持并一贯执行的教学检查，主要包括：学期初教学准备工作检查，含授课计划、部分教案的检查；学期中进行中期检查，含教学进度检查、学生座谈等具体检查环节；学期末进行教学检查，如学生评教、系部评教、教学督导评教以及各种教学资料的检查等内容。</w:t>
            </w:r>
          </w:p>
          <w:p>
            <w:pPr>
              <w:spacing w:line="360" w:lineRule="auto"/>
              <w:ind w:firstLine="422" w:firstLineChars="200"/>
              <w:jc w:val="left"/>
              <w:rPr>
                <w:rFonts w:ascii="仿宋" w:hAnsi="仿宋" w:eastAsia="仿宋" w:cs="Times New Roman"/>
                <w:bCs/>
                <w:szCs w:val="21"/>
              </w:rPr>
            </w:pPr>
            <w:r>
              <w:rPr>
                <w:rFonts w:hint="eastAsia" w:ascii="仿宋" w:hAnsi="仿宋" w:eastAsia="仿宋" w:cs="Times New Roman"/>
                <w:b/>
                <w:bCs/>
                <w:szCs w:val="21"/>
              </w:rPr>
              <w:t>（4）信息收集与反馈体系。</w:t>
            </w:r>
            <w:r>
              <w:rPr>
                <w:rFonts w:hint="eastAsia" w:ascii="仿宋" w:hAnsi="仿宋" w:eastAsia="仿宋" w:cs="Times New Roman"/>
                <w:bCs/>
                <w:szCs w:val="21"/>
              </w:rPr>
              <w:t>主要进行信息收集与监控及进行教学评价与评估、数据分析整理，并将信息反馈给管理体系、标准体系和执行体系，从而对教学各过程进行调控。包括教学评估，质量报告，学生评估，教师评估、社会评价等。</w:t>
            </w:r>
          </w:p>
          <w:p>
            <w:pPr>
              <w:spacing w:line="360" w:lineRule="auto"/>
              <w:ind w:firstLine="420" w:firstLineChars="200"/>
              <w:jc w:val="left"/>
              <w:rPr>
                <w:rFonts w:ascii="Times New Roman" w:hAnsi="Times New Roman" w:eastAsia="仿宋_GB2312" w:cs="Times New Roman"/>
                <w:bCs/>
                <w:szCs w:val="21"/>
              </w:rPr>
            </w:pPr>
          </w:p>
        </w:tc>
      </w:tr>
    </w:tbl>
    <w:p>
      <w:pPr>
        <w:rPr>
          <w:rFonts w:ascii="Times New Roman" w:hAnsi="Times New Roman" w:eastAsia="黑体" w:cs="Times New Roman"/>
          <w:sz w:val="36"/>
          <w:szCs w:val="36"/>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9.毕业生培养质量的跟踪调查结果和外部评价</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3" w:hRule="atLeast"/>
        </w:trPr>
        <w:tc>
          <w:tcPr>
            <w:tcW w:w="8522" w:type="dxa"/>
          </w:tcPr>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根据近三年数据，本专业学生初次就业率大致稳定在百分之八十左右，就业方向主要是公司企业，有部分学生进入到政府机关和银行工作。根据近三年数据，本专业考研率大概稳定在百分之八左右。从就业率、考研率和就业去向来看，本专业培养的毕业生质量较为优秀，与我们的培养目标基本一致。</w:t>
            </w:r>
          </w:p>
          <w:p>
            <w:pPr>
              <w:shd w:val="clear" w:color="auto" w:fill="FFFFFF"/>
              <w:spacing w:line="360" w:lineRule="auto"/>
              <w:ind w:firstLine="480" w:firstLineChars="200"/>
              <w:rPr>
                <w:rFonts w:ascii="仿宋" w:hAnsi="仿宋" w:eastAsia="仿宋" w:cs="Times New Roman"/>
                <w:bCs/>
                <w:sz w:val="24"/>
                <w:szCs w:val="24"/>
              </w:rPr>
            </w:pPr>
            <w:r>
              <w:rPr>
                <w:rFonts w:hint="eastAsia" w:ascii="仿宋" w:hAnsi="仿宋" w:eastAsia="仿宋" w:cs="Times New Roman"/>
                <w:bCs/>
                <w:sz w:val="24"/>
                <w:szCs w:val="24"/>
              </w:rPr>
              <w:t>本专业毕业生是主要从事管理、财务等工作，活跃在政府机关、人行、银行、金融、工商行业中，得到了好评，表现较好。根据近年来跟踪调查结果，用人单位对本专业毕业生道德素养、敬业精神、知识结构、专业技能、适应能力、沟通能力、团队协作、文化素养都较为满意，大部分毕业生得到了用人单位的认可和高度评价。</w:t>
            </w:r>
          </w:p>
          <w:p>
            <w:pPr>
              <w:shd w:val="clear" w:color="auto" w:fill="FFFFFF"/>
              <w:spacing w:line="360" w:lineRule="auto"/>
              <w:ind w:firstLine="480" w:firstLineChars="200"/>
              <w:rPr>
                <w:rFonts w:ascii="仿宋" w:hAnsi="仿宋" w:eastAsia="仿宋" w:cs="Times New Roman"/>
                <w:bCs/>
                <w:sz w:val="24"/>
                <w:szCs w:val="24"/>
              </w:rPr>
            </w:pPr>
            <w:r>
              <w:rPr>
                <w:rFonts w:hint="eastAsia" w:ascii="仿宋" w:hAnsi="仿宋" w:eastAsia="仿宋" w:cs="Times New Roman"/>
                <w:bCs/>
                <w:sz w:val="24"/>
                <w:szCs w:val="24"/>
              </w:rPr>
              <w:t>近三年来，本专业考研学生计34人，其中有在985高校、英国约克大学等国外名校就读。在全国各大高校继续读研的本专业毕业生，在思想品德、专业基础、研究能力方面，大都受到了就读学校的高度评价。</w:t>
            </w:r>
          </w:p>
          <w:p>
            <w:pPr>
              <w:shd w:val="clear" w:color="auto" w:fill="FFFFFF"/>
              <w:spacing w:line="360" w:lineRule="auto"/>
              <w:ind w:firstLine="422" w:firstLineChars="200"/>
              <w:rPr>
                <w:rFonts w:ascii="Times New Roman" w:hAnsi="Times New Roman" w:eastAsia="仿宋_GB2312" w:cs="Times New Roman"/>
                <w:b/>
                <w:bCs/>
                <w:szCs w:val="21"/>
              </w:rPr>
            </w:pPr>
          </w:p>
        </w:tc>
      </w:tr>
    </w:tbl>
    <w:p>
      <w:pPr>
        <w:rPr>
          <w:rFonts w:ascii="Times New Roman" w:hAnsi="Times New Roman" w:eastAsia="黑体" w:cs="Times New Roman"/>
          <w:sz w:val="36"/>
          <w:szCs w:val="36"/>
        </w:rPr>
      </w:pPr>
      <w:r>
        <w:rPr>
          <w:rFonts w:ascii="Times New Roman" w:hAnsi="Times New Roman" w:eastAsia="黑体" w:cs="Times New Roman"/>
          <w:b/>
          <w:kern w:val="0"/>
          <w:sz w:val="32"/>
          <w:szCs w:val="32"/>
        </w:rPr>
        <w:t>三、下一步推进专业建设和改革的主要思路及举措</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2" w:hRule="atLeast"/>
        </w:trPr>
        <w:tc>
          <w:tcPr>
            <w:tcW w:w="8522" w:type="dxa"/>
          </w:tcPr>
          <w:p>
            <w:pPr>
              <w:spacing w:line="0" w:lineRule="atLeast"/>
              <w:jc w:val="left"/>
              <w:rPr>
                <w:rFonts w:ascii="Times New Roman" w:hAnsi="Times New Roman" w:eastAsia="仿宋" w:cs="Times New Roman"/>
                <w:bCs/>
                <w:szCs w:val="21"/>
              </w:rPr>
            </w:pPr>
            <w:bookmarkStart w:id="0" w:name="_Hlk2001382"/>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（1）进一步明确人才培养目标，不断完善和调整专业培养方案及培养模式。</w:t>
            </w:r>
            <w:r>
              <w:rPr>
                <w:rFonts w:hint="eastAsia" w:ascii="仿宋" w:hAnsi="仿宋" w:eastAsia="仿宋" w:cs="Times New Roman"/>
                <w:bCs/>
                <w:sz w:val="24"/>
                <w:szCs w:val="24"/>
              </w:rPr>
              <w:t>2018版培养方案修订工作虽然已经接近尾声，但是人才培养应该是适应社会发展、经济发展的，尤其是财务管理专业人才的培养。因此我们应该紧跟时代发展的脚步，了解掌握社会经济发展对财务管理人才提出的新的要求和高等教育的新的政策方针，不断完善和调整财务管理人才培养方案，明确培养目标，通过校企合作、产教融合等多种方式，向全国和本地区做好人才培养服务工作，争取为社会输送更多、更有价值的专业人才。同时，</w:t>
            </w:r>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（2）多途径、多渠道加强师资队伍建设，培养一支业务素质高、职称学历结构合理的专业教师队伍。</w:t>
            </w:r>
            <w:r>
              <w:rPr>
                <w:rFonts w:hint="eastAsia" w:ascii="仿宋" w:hAnsi="仿宋" w:eastAsia="仿宋" w:cs="Times New Roman"/>
                <w:bCs/>
                <w:sz w:val="24"/>
                <w:szCs w:val="24"/>
              </w:rPr>
              <w:t>通过引进高级人才、新教师招聘、国内访问和国际交流、本土培养等多种形式，调整师资队伍的职称结构、学历结构、学缘结构，实现师资队伍业务水平的不断提高；相应应用型本科院校建设的需要，鼓励广大教师深入企业实践，尽快成长为双师型教师，更好地服务于教学活动。</w:t>
            </w:r>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（3）完善和调整课程体系，加大课程教学改革的力度，不断提高人才培养的质量。</w:t>
            </w:r>
            <w:r>
              <w:rPr>
                <w:rFonts w:hint="eastAsia" w:ascii="仿宋" w:hAnsi="仿宋" w:eastAsia="仿宋" w:cs="Times New Roman"/>
                <w:bCs/>
                <w:sz w:val="24"/>
                <w:szCs w:val="24"/>
              </w:rPr>
              <w:t>响应高等教育政策和学院办学定位的要求，积极参与课程教学改革，通过对课堂教学模式、考核方式和组织形式的改革，打造一批含金量比较高的“金课”课程，激发学生学习专业课程的积极性和兴趣爱好，服务教学活动，优化教学过程，争取更好地教学质量和教学效果。</w:t>
            </w:r>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（4）改善教学条件，挖掘教学资源潜力，保证理论教学活动和实践教学活动的顺利开展，满足人才培养的需求。</w:t>
            </w:r>
            <w:r>
              <w:rPr>
                <w:rFonts w:hint="eastAsia" w:ascii="仿宋" w:hAnsi="仿宋" w:eastAsia="仿宋" w:cs="Times New Roman"/>
                <w:bCs/>
                <w:sz w:val="24"/>
                <w:szCs w:val="24"/>
              </w:rPr>
              <w:t>从硬件方面来说，不断改善教学设施，如多媒体教学仪器、计算机授课中心等的投入，积极拓展校外实习基地和校内实训场所，为人才培养质量的提升提供良好的环境和空间；从软件方面来说，应更新和替代不适应的教学软件，采购新的更符合人才培养需求的软件平台，为学生实验、实习的顺利开展提供保障。</w:t>
            </w:r>
          </w:p>
          <w:p>
            <w:pPr>
              <w:spacing w:line="360" w:lineRule="auto"/>
              <w:ind w:firstLine="482" w:firstLineChars="200"/>
              <w:jc w:val="left"/>
              <w:rPr>
                <w:rFonts w:ascii="仿宋" w:hAnsi="仿宋" w:eastAsia="仿宋" w:cs="Times New Roman"/>
                <w:bCs/>
                <w:sz w:val="24"/>
                <w:szCs w:val="24"/>
              </w:rPr>
            </w:pPr>
            <w:r>
              <w:rPr>
                <w:rFonts w:hint="eastAsia" w:ascii="仿宋" w:hAnsi="仿宋" w:eastAsia="仿宋" w:cs="Times New Roman"/>
                <w:b/>
                <w:bCs/>
                <w:sz w:val="24"/>
                <w:szCs w:val="24"/>
              </w:rPr>
              <w:t>（5）完善系部教学质量保障体系，为人才培养目标和培养质量的实现提供保障，以更好地服务于地方经济发展。</w:t>
            </w:r>
            <w:r>
              <w:rPr>
                <w:rFonts w:hint="eastAsia" w:ascii="仿宋" w:hAnsi="仿宋" w:eastAsia="仿宋" w:cs="Times New Roman"/>
                <w:bCs/>
                <w:sz w:val="24"/>
                <w:szCs w:val="24"/>
              </w:rPr>
              <w:t>明确教学管理和教师工作的具体要求，对教学的各个环节进行监督检查，为人才培养质量保驾护航。</w:t>
            </w:r>
          </w:p>
          <w:p>
            <w:pPr>
              <w:spacing w:line="360" w:lineRule="auto"/>
              <w:ind w:firstLine="480" w:firstLineChars="200"/>
              <w:jc w:val="left"/>
              <w:rPr>
                <w:rFonts w:ascii="仿宋" w:hAnsi="仿宋" w:eastAsia="仿宋" w:cs="Times New Roman"/>
                <w:bCs/>
                <w:sz w:val="24"/>
                <w:szCs w:val="24"/>
              </w:rPr>
            </w:pPr>
          </w:p>
          <w:p>
            <w:pPr>
              <w:spacing w:line="360" w:lineRule="auto"/>
              <w:ind w:firstLine="420" w:firstLineChars="200"/>
              <w:jc w:val="left"/>
              <w:rPr>
                <w:rFonts w:ascii="Times New Roman" w:hAnsi="Times New Roman" w:eastAsia="仿宋_GB2312" w:cs="Times New Roman"/>
                <w:bCs/>
                <w:szCs w:val="21"/>
              </w:rPr>
            </w:pPr>
          </w:p>
        </w:tc>
      </w:tr>
      <w:bookmarkEnd w:id="0"/>
    </w:tbl>
    <w:p>
      <w:pPr>
        <w:spacing w:line="20" w:lineRule="exact"/>
        <w:rPr>
          <w:rFonts w:ascii="Times New Roman" w:hAnsi="Times New Roman" w:eastAsia="仿宋_GB2312" w:cs="Times New Roman"/>
          <w:sz w:val="10"/>
          <w:szCs w:val="10"/>
        </w:rPr>
      </w:pPr>
    </w:p>
    <w:p>
      <w:pPr>
        <w:rPr>
          <w:rFonts w:ascii="Times New Roman" w:hAnsi="Times New Roman" w:cs="Times New Roma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560" w:lineRule="exact"/>
              <w:rPr>
                <w:rFonts w:ascii="Times New Roman" w:hAnsi="Times New Roman" w:eastAsia="方正仿宋简体" w:cs="Times New Roman"/>
                <w:bCs/>
                <w:sz w:val="30"/>
                <w:szCs w:val="30"/>
              </w:rPr>
            </w:pPr>
            <w:r>
              <w:rPr>
                <w:rFonts w:ascii="Times New Roman" w:hAnsi="Times New Roman" w:eastAsia="方正仿宋简体" w:cs="Times New Roman"/>
                <w:bCs/>
                <w:sz w:val="30"/>
                <w:szCs w:val="30"/>
              </w:rPr>
              <w:t>学校意见与承诺</w:t>
            </w:r>
          </w:p>
          <w:p>
            <w:pPr>
              <w:spacing w:line="560" w:lineRule="exact"/>
              <w:ind w:firstLine="560" w:firstLineChars="200"/>
              <w:rPr>
                <w:rFonts w:ascii="Times New Roman" w:hAnsi="Times New Roman" w:eastAsia="方正仿宋简体" w:cs="Times New Roman"/>
                <w:b/>
                <w:bCs/>
                <w:sz w:val="28"/>
              </w:rPr>
            </w:pPr>
            <w:r>
              <w:rPr>
                <w:rFonts w:ascii="Times New Roman" w:hAnsi="Times New Roman" w:eastAsia="方正仿宋简体" w:cs="Times New Roman"/>
                <w:b/>
                <w:bCs/>
                <w:sz w:val="28"/>
              </w:rPr>
              <w:t>我校承诺，如获立项建设，将对该专业建设给予重点支持，安排充足专项资金支持项目建设并给予充分的人员支持、物质保障、政策倾斜，并将加强项目监督管理，确保专业建设顺利完成，通过认定。</w:t>
            </w:r>
          </w:p>
          <w:p>
            <w:pPr>
              <w:spacing w:line="560" w:lineRule="exact"/>
              <w:ind w:firstLine="560" w:firstLineChars="200"/>
              <w:rPr>
                <w:rFonts w:ascii="Times New Roman" w:hAnsi="Times New Roman" w:eastAsia="方正仿宋简体" w:cs="Times New Roman"/>
                <w:b/>
                <w:bCs/>
                <w:sz w:val="28"/>
              </w:rPr>
            </w:pPr>
          </w:p>
          <w:p>
            <w:pPr>
              <w:spacing w:line="380" w:lineRule="exact"/>
              <w:ind w:firstLine="2800" w:firstLineChars="1000"/>
              <w:rPr>
                <w:rFonts w:ascii="Times New Roman" w:hAnsi="Times New Roman" w:eastAsia="方正仿宋简体" w:cs="Times New Roman"/>
                <w:sz w:val="28"/>
              </w:rPr>
            </w:pPr>
            <w:r>
              <w:rPr>
                <w:rFonts w:ascii="Times New Roman" w:hAnsi="Times New Roman" w:eastAsia="方正仿宋简体" w:cs="Times New Roman"/>
                <w:sz w:val="28"/>
              </w:rPr>
              <w:t xml:space="preserve">（学校公章）          </w:t>
            </w:r>
          </w:p>
          <w:p>
            <w:pPr>
              <w:spacing w:line="560" w:lineRule="exact"/>
              <w:ind w:firstLine="560" w:firstLineChars="200"/>
              <w:rPr>
                <w:rFonts w:ascii="Times New Roman" w:hAnsi="Times New Roman" w:eastAsia="方正仿宋简体" w:cs="Times New Roman"/>
                <w:sz w:val="28"/>
              </w:rPr>
            </w:pPr>
            <w:r>
              <w:rPr>
                <w:rFonts w:ascii="Times New Roman" w:hAnsi="Times New Roman" w:eastAsia="方正仿宋简体" w:cs="Times New Roman"/>
                <w:sz w:val="28"/>
              </w:rPr>
              <w:t xml:space="preserve">                                     年    月    日</w:t>
            </w:r>
          </w:p>
          <w:p>
            <w:pPr>
              <w:widowControl/>
              <w:jc w:val="left"/>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4" w:hRule="atLeast"/>
        </w:trPr>
        <w:tc>
          <w:tcPr>
            <w:tcW w:w="8522" w:type="dxa"/>
          </w:tcPr>
          <w:p>
            <w:pPr>
              <w:widowControl/>
              <w:jc w:val="left"/>
              <w:rPr>
                <w:rFonts w:ascii="Times New Roman" w:hAnsi="Times New Roman" w:eastAsia="方正仿宋简体" w:cs="Times New Roman"/>
                <w:sz w:val="28"/>
                <w:szCs w:val="28"/>
              </w:rPr>
            </w:pPr>
          </w:p>
          <w:p>
            <w:pPr>
              <w:widowControl/>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省教育厅意见</w:t>
            </w:r>
          </w:p>
          <w:p>
            <w:pPr>
              <w:widowControl/>
              <w:jc w:val="right"/>
              <w:rPr>
                <w:rFonts w:ascii="Times New Roman" w:hAnsi="Times New Roman" w:eastAsia="方正仿宋简体" w:cs="Times New Roman"/>
                <w:sz w:val="28"/>
                <w:szCs w:val="28"/>
              </w:rPr>
            </w:pPr>
          </w:p>
          <w:p>
            <w:pPr>
              <w:widowControl/>
              <w:jc w:val="right"/>
              <w:rPr>
                <w:rFonts w:ascii="Times New Roman" w:hAnsi="Times New Roman" w:eastAsia="方正仿宋简体" w:cs="Times New Roman"/>
                <w:sz w:val="28"/>
                <w:szCs w:val="28"/>
              </w:rPr>
            </w:pPr>
          </w:p>
          <w:p>
            <w:pPr>
              <w:widowControl/>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（盖章）</w:t>
            </w:r>
          </w:p>
          <w:p>
            <w:pPr>
              <w:widowControl/>
              <w:wordWrap w:val="0"/>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年    月    日   </w:t>
            </w:r>
          </w:p>
        </w:tc>
      </w:tr>
    </w:tbl>
    <w:p>
      <w:pPr>
        <w:rPr>
          <w:rFonts w:ascii="Times New Roman" w:hAnsi="Times New Roman" w:cs="Times New Roma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3"/>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1F55"/>
    <w:rsid w:val="00027841"/>
    <w:rsid w:val="00092A30"/>
    <w:rsid w:val="000B685E"/>
    <w:rsid w:val="000F5425"/>
    <w:rsid w:val="001074C3"/>
    <w:rsid w:val="001226E0"/>
    <w:rsid w:val="0014143F"/>
    <w:rsid w:val="001466D2"/>
    <w:rsid w:val="001E1580"/>
    <w:rsid w:val="001E2FEE"/>
    <w:rsid w:val="00210AF9"/>
    <w:rsid w:val="002130FA"/>
    <w:rsid w:val="00223B18"/>
    <w:rsid w:val="0023594B"/>
    <w:rsid w:val="00261457"/>
    <w:rsid w:val="00296901"/>
    <w:rsid w:val="002D6141"/>
    <w:rsid w:val="00325BE5"/>
    <w:rsid w:val="0035750A"/>
    <w:rsid w:val="0040422F"/>
    <w:rsid w:val="00445385"/>
    <w:rsid w:val="00465FB3"/>
    <w:rsid w:val="00481E20"/>
    <w:rsid w:val="004B751A"/>
    <w:rsid w:val="004E41FF"/>
    <w:rsid w:val="0052103E"/>
    <w:rsid w:val="00524037"/>
    <w:rsid w:val="0056638D"/>
    <w:rsid w:val="005B4611"/>
    <w:rsid w:val="005C3F02"/>
    <w:rsid w:val="005D6E81"/>
    <w:rsid w:val="00695788"/>
    <w:rsid w:val="0074404D"/>
    <w:rsid w:val="00752A09"/>
    <w:rsid w:val="00797A5E"/>
    <w:rsid w:val="007A1201"/>
    <w:rsid w:val="00871AA2"/>
    <w:rsid w:val="00874B8F"/>
    <w:rsid w:val="00883ED4"/>
    <w:rsid w:val="008C1DB0"/>
    <w:rsid w:val="008E6F1F"/>
    <w:rsid w:val="009326BB"/>
    <w:rsid w:val="009345E3"/>
    <w:rsid w:val="009840ED"/>
    <w:rsid w:val="009E5C53"/>
    <w:rsid w:val="00A402AA"/>
    <w:rsid w:val="00A42ACE"/>
    <w:rsid w:val="00A81E8B"/>
    <w:rsid w:val="00AF1DDF"/>
    <w:rsid w:val="00BB1318"/>
    <w:rsid w:val="00BD1F55"/>
    <w:rsid w:val="00C06151"/>
    <w:rsid w:val="00C2570D"/>
    <w:rsid w:val="00C66E0E"/>
    <w:rsid w:val="00D8641A"/>
    <w:rsid w:val="00DD6FCF"/>
    <w:rsid w:val="00E04CAA"/>
    <w:rsid w:val="00E46A40"/>
    <w:rsid w:val="00E50168"/>
    <w:rsid w:val="00F264FE"/>
    <w:rsid w:val="00F46A23"/>
    <w:rsid w:val="00FC2362"/>
    <w:rsid w:val="00FE19E3"/>
    <w:rsid w:val="0459099E"/>
    <w:rsid w:val="055B0DFA"/>
    <w:rsid w:val="05CD228B"/>
    <w:rsid w:val="08CE4763"/>
    <w:rsid w:val="096E1BE8"/>
    <w:rsid w:val="0BE67DE9"/>
    <w:rsid w:val="12696F2A"/>
    <w:rsid w:val="13E0567B"/>
    <w:rsid w:val="158B4ED8"/>
    <w:rsid w:val="163A220B"/>
    <w:rsid w:val="17540536"/>
    <w:rsid w:val="19DE2DC2"/>
    <w:rsid w:val="1BBC0B6E"/>
    <w:rsid w:val="1C264DED"/>
    <w:rsid w:val="1C307F57"/>
    <w:rsid w:val="1DC869F0"/>
    <w:rsid w:val="235B060D"/>
    <w:rsid w:val="2E335F5E"/>
    <w:rsid w:val="2E7E74BD"/>
    <w:rsid w:val="34FB163A"/>
    <w:rsid w:val="3E1F65BD"/>
    <w:rsid w:val="4186308C"/>
    <w:rsid w:val="436B6B82"/>
    <w:rsid w:val="43EF0FDE"/>
    <w:rsid w:val="45851F35"/>
    <w:rsid w:val="473104FB"/>
    <w:rsid w:val="477F7A0A"/>
    <w:rsid w:val="49273380"/>
    <w:rsid w:val="4A0E6CF5"/>
    <w:rsid w:val="4ADC5A43"/>
    <w:rsid w:val="4F104DD4"/>
    <w:rsid w:val="504D6B0F"/>
    <w:rsid w:val="55C10F10"/>
    <w:rsid w:val="58CE64B3"/>
    <w:rsid w:val="5A643BC1"/>
    <w:rsid w:val="5AB01641"/>
    <w:rsid w:val="5AE94E76"/>
    <w:rsid w:val="5D8A0F63"/>
    <w:rsid w:val="5EBC00E6"/>
    <w:rsid w:val="605E0C09"/>
    <w:rsid w:val="63714A9B"/>
    <w:rsid w:val="638E169C"/>
    <w:rsid w:val="63A864D5"/>
    <w:rsid w:val="651E4C25"/>
    <w:rsid w:val="67F8196D"/>
    <w:rsid w:val="68025CBE"/>
    <w:rsid w:val="6821676A"/>
    <w:rsid w:val="683053A8"/>
    <w:rsid w:val="6C27482E"/>
    <w:rsid w:val="6CD012F5"/>
    <w:rsid w:val="6D0F4B74"/>
    <w:rsid w:val="6D1D4FA9"/>
    <w:rsid w:val="6D4B355B"/>
    <w:rsid w:val="7824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脚 Char"/>
    <w:basedOn w:val="7"/>
    <w:link w:val="3"/>
    <w:qFormat/>
    <w:uiPriority w:val="99"/>
    <w:rPr>
      <w:sz w:val="18"/>
      <w:szCs w:val="18"/>
    </w:rPr>
  </w:style>
  <w:style w:type="character" w:customStyle="1" w:styleId="9">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6854</Words>
  <Characters>7218</Characters>
  <Lines>55</Lines>
  <Paragraphs>15</Paragraphs>
  <TotalTime>1097</TotalTime>
  <ScaleCrop>false</ScaleCrop>
  <LinksUpToDate>false</LinksUpToDate>
  <CharactersWithSpaces>7406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Administrator</cp:lastModifiedBy>
  <cp:lastPrinted>2019-06-24T02:29:12Z</cp:lastPrinted>
  <dcterms:modified xsi:type="dcterms:W3CDTF">2019-06-24T02:32:40Z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