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90" w:firstLineChars="24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  <w:lang w:val="en-US" w:eastAsia="zh-CN"/>
        </w:rPr>
        <w:t>8</w:t>
      </w:r>
      <w:r>
        <w:rPr>
          <w:rFonts w:hint="eastAsia"/>
          <w:b/>
          <w:sz w:val="24"/>
          <w:szCs w:val="24"/>
        </w:rPr>
        <w:t>年省院级教学改革研究项目中期检查答辩顺序表（理工科组）</w:t>
      </w:r>
    </w:p>
    <w:p>
      <w:pPr>
        <w:rPr>
          <w:b/>
          <w:sz w:val="24"/>
          <w:szCs w:val="24"/>
        </w:rPr>
      </w:pPr>
    </w:p>
    <w:tbl>
      <w:tblPr>
        <w:tblStyle w:val="2"/>
        <w:tblW w:w="9717" w:type="dxa"/>
        <w:tblInd w:w="-5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208"/>
        <w:gridCol w:w="4935"/>
        <w:gridCol w:w="1061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计算机工程系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以能力为导向的“计算几何”应用型课程改革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机械工程系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机械类专业产教融合人才培养模式研究与实践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计算机工程系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以混合式教学为手段，强化应用实践，重构面向对象系列课程体系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韩燕丽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环境与安全工程系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专业实习过程管理改革研究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刘丽艳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新工科背景下成效为本的创新人才培养模式研究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新工科背景下的汽车服务工程专业课程体系重构研究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思想政治教育融入大学物理课程教学的研究与实践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任全年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化学与化工系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应用型院校引入本科生导师制模式的探索与实践—以太原工业学院化学与化工系为例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赵晓红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计算机工程系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新工科背景下基于SPOC在线课程的建设与研究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材料工程系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基于以新能源行业就业为导向的“无机非金属材料工程”专业课程分叉设置的应时改革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朱开金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校企合作数控加工技能人才培养模式研究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电子工程系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基于认知系统的教学方式改革与探索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焦冬莉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基于提升学生创新能力的大学物理实验课程体系的研究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王晓伟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大学物理实验虚拟实验室建设研究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冯中营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环境与安全工程系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基于学科竞赛的环境工程人才创新能力培养研究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来雪慧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</w:tr>
    </w:tbl>
    <w:p/>
    <w:p/>
    <w:p>
      <w:pPr>
        <w:ind w:firstLine="5280" w:firstLineChars="2200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教务处</w:t>
      </w:r>
    </w:p>
    <w:p>
      <w:pPr>
        <w:ind w:leftChars="21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二〇一九年九月十八日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30E86"/>
    <w:rsid w:val="2E030E86"/>
    <w:rsid w:val="5AA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2019-09-17T09:50:00Z</dcterms:created>
  <dc:creator>Administrator</dc:creator>
  <cp:lastModifiedBy>Administrator</cp:lastModifiedBy>
  <dcterms:modified xsi:type="dcterms:W3CDTF">2019-09-18T00:50:42Z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