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大标宋简体" w:hAnsi="方正大标宋简体" w:eastAsia="方正大标宋简体" w:cs="方正大标宋简体"/>
          <w:sz w:val="36"/>
          <w:szCs w:val="36"/>
        </w:rPr>
      </w:pPr>
    </w:p>
    <w:p>
      <w:pPr>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太原工业学院一流专业建设总体方案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为贯彻落实新时代全国高等学校本科教育工作会议精神，结合学院实际，统筹推进我院专业建设，进一步强化应用型专业提质工程，启动“一流专业”项目培育建设，实现一流专业建设目标，特制订本方案。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一、一流专业建设总体思路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思想为指导，坚持以立德树人为根本，以服务社会发展为导向，加快建成一流专业，提升我院高等教育综合实力和竞争力，突出我院应用技术型人才培养特色，全面提升学生应用能力和创新实践能力，更好地为社会培养合格的应用技术型人才和卓越工程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(二）基本原则</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对标一流、扶优扶强的原则。以省内外具有一定实力的高水平大学为目标，依托现有省级重点学科、重点专业，汇聚优质资源，加大支持力度，重点建设我院培育项目，培养一流应用型人才，使我院培育项目走向省级一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立足军民融合，坚持区域发展、特色先行的原则。发挥区域优势，寻求错位发展，优化专业结构，凝练专业发展方向，突出专业建设重点。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坚持改革驱动。深化综合改革，在培养模式、课程设置、教学手段、实验实训条件、特色途径等方面加快应用技术型一流专业建设。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(三）总体目标</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有利于一流专业发展的体制与机制，提供相关支撑条件和切实可行的政策保障措施，经过三年建设，使我院培育项目在专业规模、师资队伍、实践教学建设、人才培养质量等方面有明显改善，成为培养各类高素质应用型人才的重要基地，服务、支撑、引领区域经济社会发展能力显著增强，使我院培育项目达到山西省普通高等学校一流专业建设标准，力争到2022年我院省级一流专业达到5个以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二、一流专业建设具体举措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（一）建设一流师资队伍</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深入实施人才强校战略，强化高层次人才的支撑引领作用，引进一批活跃在国内学术前沿，满足高校发展需求的一流学科专业领军人物和创新团队。力争在三年建设期内，把我院各培育项目的师资队伍建成双师双能型、结构合理的师资队伍。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 xml:space="preserve">（二）提升科研教学水平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国家和省内重大需求为导向，加强专业布局的顶层设计和战略规划，建立健全教科研机制，营造浓厚的学术氛围和宽松的创新环境，不断提升我院青年教师的教科研水平。鼓励我院青年教师积极申报科研项目、质量工程项目，加大应用型教材编写力度，三年内，力争各培育项目的专业教师申报省级教科研项目2项；建设省级精品课程1门，校级精品课程3门；省院级教学团队1个；申报省级教学成果奖1-2项；编写或参编具有高水平的应用技术型教材2本。</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（三）充实实践教学条件</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大教学经费投入，为了满足学生实习实践教学需要，在现有实验室和实习实训基地建设基础上，根据各专业实际需求，健全校内实验室、校外实训基地建设。三年内，各培育项目力争建设省级重点实验室1项，虚拟仿真实验项目1项，省级众创空间1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（四）深化分流、创新、创业教育机制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 xml:space="preserve">设置学生分流培养课程模块。在人才培养方案中设置各类个性发展课程模块，供不同学生作不同选择，各专业根据社会需求减少必修课程，加大选修课程比例，鼓励学生个性发展，达到分流培养目标。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 xml:space="preserve">构建素质拓展提升体系。学院要求学生在校学习期间必须完成6学分的素质拓展项目。鼓励学生参加各种职业资格认证培训，要求学生积极参加学科竞赛、科技竞赛、学术活动、社会调查和社团活动，并将学生获得的职业资格证转为为相应学分，计入素质拓展体系。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重视创新创业精神培养。从课程设置、素质拓展提升、创新创业精神培养、休学创业制度等方面积极采取措施，提高学生创新创业意识和能力。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4</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完善创业机制保障。在经济新常态下，鼓励学生创业，构建创业扶持机制，对各</w:t>
      </w:r>
      <w:r>
        <w:rPr>
          <w:rFonts w:hint="eastAsia" w:ascii="仿宋" w:hAnsi="仿宋" w:eastAsia="仿宋" w:cs="仿宋"/>
          <w:sz w:val="32"/>
          <w:szCs w:val="32"/>
        </w:rPr>
        <w:t>种形式的自主创业生进行不同程度的奖励和帮扶，提供资金、场地、指导等全方位扶持。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 xml:space="preserve">（五）夯实质量与特色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 xml:space="preserve">提升人才培养质量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坚持立德树人，突出人才培养的核心地位，以“一流专业”建设为牵引，大力推进个性化培养，培养具有创新精神和实践能力的各类创新型、应用型、复合型优秀人才，建立完善的质量保障体系，将学生成长成才作为人才培养的出发点和落脚点，激励学生刻苦学习，努力提升自身综合素养，引导毕业生积极投身创业、考研、参与学科竞赛，全面提升学生的综合素质和人才培养质量。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 xml:space="preserve">凸显合作办学特色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为了将国外优质教育资源有效融合到我院教学科研过程中，积极开展国内外合作，开展高水平人才联合培养。拓宽学生视野，增强学生实践能力；开展“2+2”、“3+1”“3+2”等形式多样的联合办学模式，建立产业学院，培养具有职业视野的应用型人才。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三、一流专业建设规划进程安排</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为有效落实一流专业培育项目建设目标，学院采取逐步推进、重点落实的管理办法，按步骤有序完成各阶段建设任务，3年内计划培养建设15-20个院级一流专业。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四、一流专业建设保障机制</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1、组织保障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为确保一流专业培育项目落到实处，学院实行教务处、教育教学评建处联合管理，定期开展方案进展审核、中期检查、绩效考核等，督促一流专业培育项目顺利进展。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 xml:space="preserve">2、保障机制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善配套政策，根据本方案组织制定绩效评价机制和资金管理办法，做好一流专业建设的顶层设计、宏观布局，在整体建设规划中落实专业建设经费。根据一流专业建设相关评估评价结果，对实施有力、进展良好、成效明显的专业实行动态激励，适当加大资金支持力度，有序推进一流专业建设工作顺利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3、督促检查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一流专业建设方案时间进度安排，定期对一流专业培育项目开展跟踪指导，实行动态监测管理，同时对项目建设成果进行自查评估。学院组织专家，依据项目建设目标和任务进行中期检查、年度考核，在检查考核中发现的问题提出改进意见，并予以及时解决，保证一流专业培育项目顺利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36"/>
          <w:szCs w:val="36"/>
        </w:rPr>
        <w:t>一流专业建设方案撰写参考提纲</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一、建设基础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（一）行业背景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（二）专业基础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二、建设目标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（一）建设思路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（二）建设目标（追赶超越、省内水平）</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三、建设内容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（一）办学体制机制改革（一流的办学体制机制）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1.校企合作体制机制改革</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2.内部机制改革（二级管理、师资发展、教科研激励等）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（二）人才培养模式改革（一流的人才培养模式）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1.创新人才培养模式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2.构建一流的课程体系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（三）课程建设（一流的课程改革、一流的课程建设）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1.课程资源建设（线上、线下）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2.教学方法改革</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3.教材建设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4.一流课程（线上线下精品课程）建设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（四）师资队伍建设（一流的师资队伍）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1.专业带头人、骨干教师培养（双师双能型教师队伍）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2.专业教学团队建设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（五）实践教学条件建设（一流的教学条件：生产性实训基地、实习基地建设、协同创新中心）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1.校内实践教学条件建设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2.校外实践教学条件建设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3.信息化教学平台建设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4.重点实验室或实验教学示范中心建设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5.虚拟仿真实验项目建设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（六）社会服务能力提升（一流的社会服务：科研、成果转化、培训、社区教育）</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1.教学科研成果转化</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2.提高技能培训能力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3.开展社区教育</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（七）合作办学（一流的产业学院和国际合作办学）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1.产业学院建设项目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引进国内外交流合作项目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3.加强师生校外交流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4.合作开发合作办学项目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（八）教学管理与质量保证体系建设（一流的理念：管理、制度、质量监控与保证、评价体系）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1.教学管理水平</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2.教学质量保证体系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（九）人才培养质量（一流的人才培养质量：体现社会就业竞争力）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1.素质教育</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2.创新创业教育</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3.技能水平（课证融合，双证书）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注：每项建设内容都要有标志性成果：国家级、省级、行业、校级等。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四、预期效果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（一）招生与就业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（二）社会声誉（教师、学生）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（三）示范辐射</w:t>
      </w:r>
    </w:p>
    <w:tbl>
      <w:tblPr>
        <w:tblStyle w:val="9"/>
        <w:tblpPr w:leftFromText="180" w:rightFromText="180" w:vertAnchor="text" w:horzAnchor="page" w:tblpX="1800" w:tblpY="6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080"/>
        <w:gridCol w:w="1760"/>
        <w:gridCol w:w="1555"/>
        <w:gridCol w:w="1485"/>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gridSpan w:val="2"/>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建设内容</w:t>
            </w:r>
          </w:p>
        </w:tc>
        <w:tc>
          <w:tcPr>
            <w:tcW w:w="176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2020年</w:t>
            </w:r>
          </w:p>
        </w:tc>
        <w:tc>
          <w:tcPr>
            <w:tcW w:w="155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2021年</w:t>
            </w:r>
          </w:p>
        </w:tc>
        <w:tc>
          <w:tcPr>
            <w:tcW w:w="148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2022年</w:t>
            </w:r>
          </w:p>
        </w:tc>
        <w:tc>
          <w:tcPr>
            <w:tcW w:w="1222"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标志性成果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1.XXX</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责任人：</w:t>
            </w:r>
          </w:p>
        </w:tc>
        <w:tc>
          <w:tcPr>
            <w:tcW w:w="10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1.1XXX</w:t>
            </w:r>
          </w:p>
        </w:tc>
        <w:tc>
          <w:tcPr>
            <w:tcW w:w="176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预期目标：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验收要点：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55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预期目标：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验收要点：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48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22"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0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1.2XXX</w:t>
            </w:r>
          </w:p>
        </w:tc>
        <w:tc>
          <w:tcPr>
            <w:tcW w:w="176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预期目标：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验收要点：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55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48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22"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0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76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55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48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22"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0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76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55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48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22"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五、建设进度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六、资金预算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gridSpan w:val="2"/>
            <w:vMerge w:val="restart"/>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建设内容</w:t>
            </w:r>
          </w:p>
        </w:tc>
        <w:tc>
          <w:tcPr>
            <w:tcW w:w="6088" w:type="dxa"/>
            <w:gridSpan w:val="5"/>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资金预算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gridSpan w:val="2"/>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2020年度</w:t>
            </w: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2021年度</w:t>
            </w: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2022年度</w:t>
            </w: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小计</w:t>
            </w: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1.XXX</w:t>
            </w: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1.1</w:t>
            </w: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r>
              <w:rPr>
                <w:rFonts w:hint="eastAsia" w:ascii="仿宋" w:hAnsi="仿宋" w:eastAsia="仿宋" w:cs="仿宋"/>
                <w:sz w:val="28"/>
                <w:szCs w:val="28"/>
              </w:rPr>
              <w:t>合计</w:t>
            </w: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c>
          <w:tcPr>
            <w:tcW w:w="121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七、条件保障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（一）制度保障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（二）经费保障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w:t>
      </w:r>
    </w:p>
    <w:p>
      <w:pPr>
        <w:rPr>
          <w:rFonts w:hint="eastAsia" w:ascii="仿宋" w:hAnsi="仿宋" w:eastAsia="仿宋" w:cs="仿宋"/>
          <w:sz w:val="32"/>
          <w:szCs w:val="32"/>
        </w:rPr>
      </w:pPr>
    </w:p>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仿宋" w:hAnsi="仿宋" w:eastAsia="仿宋" w:cs="仿宋"/>
          <w:color w:val="666666"/>
          <w:kern w:val="0"/>
          <w:sz w:val="32"/>
          <w:szCs w:val="32"/>
        </w:rPr>
      </w:pPr>
      <w:r>
        <w:rPr>
          <w:rFonts w:hint="eastAsia" w:ascii="方正小标宋简体" w:hAnsi="方正小标宋简体" w:eastAsia="方正小标宋简体" w:cs="方正小标宋简体"/>
          <w:sz w:val="36"/>
          <w:szCs w:val="36"/>
        </w:rPr>
        <w:t>“一流专业”建设标准</w:t>
      </w:r>
    </w:p>
    <w:tbl>
      <w:tblPr>
        <w:tblStyle w:val="8"/>
        <w:tblW w:w="8330" w:type="dxa"/>
        <w:tblInd w:w="0" w:type="dxa"/>
        <w:tblLayout w:type="autofit"/>
        <w:tblCellMar>
          <w:top w:w="0" w:type="dxa"/>
          <w:left w:w="0" w:type="dxa"/>
          <w:bottom w:w="0" w:type="dxa"/>
          <w:right w:w="0" w:type="dxa"/>
        </w:tblCellMar>
      </w:tblPr>
      <w:tblGrid>
        <w:gridCol w:w="959"/>
        <w:gridCol w:w="1653"/>
        <w:gridCol w:w="236"/>
        <w:gridCol w:w="5482"/>
      </w:tblGrid>
      <w:tr>
        <w:tblPrEx>
          <w:tblCellMar>
            <w:top w:w="0" w:type="dxa"/>
            <w:left w:w="0" w:type="dxa"/>
            <w:bottom w:w="0" w:type="dxa"/>
            <w:right w:w="0" w:type="dxa"/>
          </w:tblCellMar>
        </w:tblPrEx>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一级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指标</w:t>
            </w:r>
          </w:p>
        </w:tc>
        <w:tc>
          <w:tcPr>
            <w:tcW w:w="16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二级指标</w:t>
            </w:r>
          </w:p>
        </w:tc>
        <w:tc>
          <w:tcPr>
            <w:tcW w:w="57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建设标准</w:t>
            </w:r>
          </w:p>
        </w:tc>
      </w:tr>
      <w:tr>
        <w:tblPrEx>
          <w:tblCellMar>
            <w:top w:w="0" w:type="dxa"/>
            <w:left w:w="0" w:type="dxa"/>
            <w:bottom w:w="0" w:type="dxa"/>
            <w:right w:w="0" w:type="dxa"/>
          </w:tblCellMar>
        </w:tblPrEx>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1.生源与就业</w:t>
            </w: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1.1生源质量</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近3年来本专业招生</w:t>
            </w:r>
            <w:r>
              <w:rPr>
                <w:rFonts w:hint="eastAsia" w:ascii="仿宋" w:hAnsi="仿宋" w:eastAsia="仿宋" w:cs="仿宋"/>
                <w:bCs/>
                <w:sz w:val="24"/>
                <w:szCs w:val="24"/>
              </w:rPr>
              <w:t>最低录取分数高于同批次学校录取最低控制线≥20分的人数≥90%。</w:t>
            </w:r>
            <w:r>
              <w:rPr>
                <w:rFonts w:hint="eastAsia" w:ascii="仿宋" w:hAnsi="仿宋" w:eastAsia="仿宋" w:cs="仿宋"/>
                <w:kern w:val="0"/>
                <w:sz w:val="24"/>
                <w:szCs w:val="24"/>
              </w:rPr>
              <w:t>新生报到率≥98%。</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1.2就业率与就业质量</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近3年来本专业一次性就业率高于80%，累计就业率超过95%；能够经常性地对专业人才社会需求和毕业生质量进行跟踪调查，毕业生就业满意率≥85%。</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毕业生受到用人单位广泛欢迎，社会声誉高。</w:t>
            </w:r>
          </w:p>
        </w:tc>
      </w:tr>
      <w:tr>
        <w:tblPrEx>
          <w:tblCellMar>
            <w:top w:w="0" w:type="dxa"/>
            <w:left w:w="0" w:type="dxa"/>
            <w:bottom w:w="0" w:type="dxa"/>
            <w:right w:w="0" w:type="dxa"/>
          </w:tblCellMar>
        </w:tblPrEx>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2.培养目标与培养方案</w:t>
            </w: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2.1培养目标</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办学思想明确，定位准确；人才培养目标定位精准，体现学校办学定位，培养规格符合本专业内涵，适应国家和区域经济社会发展的需要</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2.2培养方案</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有完善的培养方案修订制度，能够依据专业发展定位、专业人才社会需求变化，对人才培养方案进行定期修订，修订过程能吸纳业界专家和毕业生代表意见建议。</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课程体系设计科学合理，培养方案体现了本专业的发展定位、培养目标，符合经济社会发展需要，能够支撑本专业学习成果要求的达成。</w:t>
            </w:r>
          </w:p>
        </w:tc>
      </w:tr>
      <w:tr>
        <w:tblPrEx>
          <w:tblCellMar>
            <w:top w:w="0" w:type="dxa"/>
            <w:left w:w="0" w:type="dxa"/>
            <w:bottom w:w="0" w:type="dxa"/>
            <w:right w:w="0" w:type="dxa"/>
          </w:tblCellMar>
        </w:tblPrEx>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3.学习成果</w:t>
            </w: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3.1学习成果支撑度</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专业有明确、公开、可衡量的学习成果，学习成果能够支撑本专业培养目标的达成。</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3.2学习成果评价</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专业有学习成果达成评价体系，能够对本专业学习成果的达成情况进行评价。</w:t>
            </w:r>
          </w:p>
        </w:tc>
      </w:tr>
      <w:tr>
        <w:tblPrEx>
          <w:tblCellMar>
            <w:top w:w="0" w:type="dxa"/>
            <w:left w:w="0" w:type="dxa"/>
            <w:bottom w:w="0" w:type="dxa"/>
            <w:right w:w="0" w:type="dxa"/>
          </w:tblCellMar>
        </w:tblPrEx>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4.课程与教材</w:t>
            </w: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4.1课程建设</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课程建设有规划、有标准、有措施，主干课程中有3门以上为校级精品课程，或有1门以上（含1门）为省级精品课程。</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4.2教材建设</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本专业教师近3年主编或参编的教材、教学参考书或教学辅助教材≥3，或自编讲义≥5本。</w:t>
            </w:r>
          </w:p>
        </w:tc>
      </w:tr>
      <w:tr>
        <w:tblPrEx>
          <w:tblCellMar>
            <w:top w:w="0" w:type="dxa"/>
            <w:left w:w="0" w:type="dxa"/>
            <w:bottom w:w="0" w:type="dxa"/>
            <w:right w:w="0" w:type="dxa"/>
          </w:tblCellMar>
        </w:tblPrEx>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5.师资队伍</w:t>
            </w: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5.1专业带头人</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专业带头人具有教授职称及硕士以上学历，且具有高学历专业与本专业一致，熟悉本学科专业领域发展态势，发表有3篇以上较高水平的论文，具有较高学术造诣和学术水平，在同行中有一定知名度。</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5.2数量与结构</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教师数量充足，教授、副教授比例≥50%，具有博士学位比例≥25%,35岁以下（含）青年教师中具有硕士及其以上学位比例达到100%。</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5.3能力与水平</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近3年承担省部级以上教学和科学研究项目≥3项，获省部级及以上教学或科研成果奖励≥2项。</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有院级以上（含院级）的教学名师或教学团队。</w:t>
            </w:r>
          </w:p>
        </w:tc>
      </w:tr>
      <w:tr>
        <w:tblPrEx>
          <w:tblCellMar>
            <w:top w:w="0" w:type="dxa"/>
            <w:left w:w="0" w:type="dxa"/>
            <w:bottom w:w="0" w:type="dxa"/>
            <w:right w:w="0" w:type="dxa"/>
          </w:tblCellMar>
        </w:tblPrEx>
        <w:trPr>
          <w:trHeight w:val="825" w:hRule="atLeast"/>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6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5.4师资培养</w:t>
            </w:r>
          </w:p>
        </w:tc>
        <w:tc>
          <w:tcPr>
            <w:tcW w:w="57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有完善的教师培养与培训计划；有教师教学水平评价标准及考评机制，教师教学精力投入有保证。</w:t>
            </w:r>
          </w:p>
        </w:tc>
      </w:tr>
      <w:tr>
        <w:tblPrEx>
          <w:tblCellMar>
            <w:top w:w="0" w:type="dxa"/>
            <w:left w:w="0" w:type="dxa"/>
            <w:bottom w:w="0" w:type="dxa"/>
            <w:right w:w="0" w:type="dxa"/>
          </w:tblCellMar>
        </w:tblPrEx>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4"/>
                <w:szCs w:val="24"/>
              </w:rPr>
            </w:pPr>
            <w:r>
              <w:rPr>
                <w:rFonts w:hint="eastAsia" w:ascii="仿宋" w:hAnsi="仿宋" w:eastAsia="仿宋" w:cs="仿宋"/>
                <w:color w:val="666666"/>
                <w:kern w:val="0"/>
                <w:sz w:val="24"/>
                <w:szCs w:val="24"/>
              </w:rPr>
              <w:br w:type="page"/>
            </w:r>
            <w:r>
              <w:rPr>
                <w:rFonts w:hint="eastAsia" w:ascii="仿宋" w:hAnsi="仿宋" w:eastAsia="仿宋" w:cs="仿宋"/>
                <w:b/>
                <w:bCs/>
                <w:kern w:val="0"/>
                <w:sz w:val="24"/>
                <w:szCs w:val="24"/>
              </w:rPr>
              <w:t>一级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指标</w:t>
            </w:r>
          </w:p>
        </w:tc>
        <w:tc>
          <w:tcPr>
            <w:tcW w:w="18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二级指标</w:t>
            </w:r>
          </w:p>
        </w:tc>
        <w:tc>
          <w:tcPr>
            <w:tcW w:w="54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建设标准</w:t>
            </w:r>
          </w:p>
        </w:tc>
      </w:tr>
      <w:tr>
        <w:tblPrEx>
          <w:tblCellMar>
            <w:top w:w="0" w:type="dxa"/>
            <w:left w:w="0" w:type="dxa"/>
            <w:bottom w:w="0" w:type="dxa"/>
            <w:right w:w="0" w:type="dxa"/>
          </w:tblCellMar>
        </w:tblPrEx>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6.经费与条件</w:t>
            </w: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6.1教学经费投入</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用于本专业的实验室建设、课程建设、教材建设以及师资队伍建设的经费充足，且近3年持续增长。</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6.2教学条件</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实验室、实习基地和图书资料等能满足培养高素质应用型人才需求。有院级以上实验教学示范中心。</w:t>
            </w:r>
          </w:p>
        </w:tc>
      </w:tr>
      <w:tr>
        <w:tblPrEx>
          <w:tblCellMar>
            <w:top w:w="0" w:type="dxa"/>
            <w:left w:w="0" w:type="dxa"/>
            <w:bottom w:w="0" w:type="dxa"/>
            <w:right w:w="0" w:type="dxa"/>
          </w:tblCellMar>
        </w:tblPrEx>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7.产学研合作</w:t>
            </w: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7.1创新创业</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建立健全课堂教学、自主学习、综合实践、指导帮扶、文化引领融为一体的高校创新创业教育体系，注重学生创新精神、创业意识和创新创业能力培养。</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7.2校企合作</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与国内3家以上大型企业签署有战略合作协议或产学研合作协议并有实质性合作，与行业企业共建实习基地5个以上。</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7.3产业发展</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建立吸收用人单位参与方案研究制定的有效机制，发挥产学研在人才培养中的协同作用；与企业积极开展科学研究、技术攻关以及技术培训，取得初步成效。</w:t>
            </w:r>
          </w:p>
        </w:tc>
      </w:tr>
      <w:tr>
        <w:tblPrEx>
          <w:tblCellMar>
            <w:top w:w="0" w:type="dxa"/>
            <w:left w:w="0" w:type="dxa"/>
            <w:bottom w:w="0" w:type="dxa"/>
            <w:right w:w="0" w:type="dxa"/>
          </w:tblCellMar>
        </w:tblPrEx>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8.质量保障与特色</w:t>
            </w: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8.1人才培养质量</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学生基础理论和基本技能扎实，近两届本科毕业生学生平均考取研究生率≥15%。</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近3年公开发表学术论文或作品，理工类专业每千名学生≥5篇（项），人文社会科学类专业每千名学生≥10篇（项）。</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学生积极参加各种创新活动、技能和各类竞赛活动，学生参与面≥90%，获省部级及以上竞赛奖励和大创项目≥5项。</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8.2质量保障</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本专业有较为完善的内部质量监控机制，对各主要教学环节有明确的质量要求和过程监控，并能够定期进行质量评价。</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专业建有毕业生跟踪反馈、用人单位满意度调查等外部评价机制，能够对培养目标的达成情况进行定期评价。</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专业定期收集内外部评价信息进行综合分析，并能够将分析结果用于专业的持续改进。</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8.3学生指导制度与措施</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专业具有完善的课堂内、第二课堂、校外实践等各方面学业指导的制度与措施，指导效果显著，导师制落实较好。</w:t>
            </w:r>
          </w:p>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专业具有完善的学习过程跟踪和评估机制，执行良好。</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p>
        </w:tc>
        <w:tc>
          <w:tcPr>
            <w:tcW w:w="18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8.4专业特色</w:t>
            </w:r>
          </w:p>
        </w:tc>
        <w:tc>
          <w:tcPr>
            <w:tcW w:w="54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专业定位准确，特色显著，与国内、省内其他学校同类专业相比具有一定优势与特色。</w:t>
            </w:r>
          </w:p>
        </w:tc>
      </w:tr>
    </w:tbl>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6048"/>
    <w:rsid w:val="00003E8E"/>
    <w:rsid w:val="0001119C"/>
    <w:rsid w:val="00075D0F"/>
    <w:rsid w:val="00114E03"/>
    <w:rsid w:val="00137BFA"/>
    <w:rsid w:val="00147D3B"/>
    <w:rsid w:val="001B1923"/>
    <w:rsid w:val="001C5D95"/>
    <w:rsid w:val="00216DB7"/>
    <w:rsid w:val="00240C7D"/>
    <w:rsid w:val="002739A9"/>
    <w:rsid w:val="00297F1F"/>
    <w:rsid w:val="002D5F59"/>
    <w:rsid w:val="003D2126"/>
    <w:rsid w:val="00431AC6"/>
    <w:rsid w:val="004460E2"/>
    <w:rsid w:val="00447DBA"/>
    <w:rsid w:val="00493A62"/>
    <w:rsid w:val="004E6584"/>
    <w:rsid w:val="00605896"/>
    <w:rsid w:val="00640C88"/>
    <w:rsid w:val="00660335"/>
    <w:rsid w:val="006943F5"/>
    <w:rsid w:val="006B2E01"/>
    <w:rsid w:val="006C1DF7"/>
    <w:rsid w:val="00710792"/>
    <w:rsid w:val="00733B38"/>
    <w:rsid w:val="00747297"/>
    <w:rsid w:val="007816CA"/>
    <w:rsid w:val="008425A2"/>
    <w:rsid w:val="00857F5C"/>
    <w:rsid w:val="00861A5B"/>
    <w:rsid w:val="008D3C49"/>
    <w:rsid w:val="00903D73"/>
    <w:rsid w:val="00934C07"/>
    <w:rsid w:val="009B6836"/>
    <w:rsid w:val="009B6E0F"/>
    <w:rsid w:val="009D1106"/>
    <w:rsid w:val="00A31A14"/>
    <w:rsid w:val="00A77BB0"/>
    <w:rsid w:val="00A85424"/>
    <w:rsid w:val="00A9126B"/>
    <w:rsid w:val="00AA7BFB"/>
    <w:rsid w:val="00AB5167"/>
    <w:rsid w:val="00B44499"/>
    <w:rsid w:val="00B826C1"/>
    <w:rsid w:val="00BF7295"/>
    <w:rsid w:val="00C0431E"/>
    <w:rsid w:val="00C16048"/>
    <w:rsid w:val="00C31332"/>
    <w:rsid w:val="00CF273D"/>
    <w:rsid w:val="00D45121"/>
    <w:rsid w:val="00D93995"/>
    <w:rsid w:val="00DD540A"/>
    <w:rsid w:val="00DF0604"/>
    <w:rsid w:val="00E36E56"/>
    <w:rsid w:val="00E96B8D"/>
    <w:rsid w:val="00F635A9"/>
    <w:rsid w:val="00FA4169"/>
    <w:rsid w:val="010C37E5"/>
    <w:rsid w:val="04502EAD"/>
    <w:rsid w:val="05C767EA"/>
    <w:rsid w:val="06334A82"/>
    <w:rsid w:val="065055BC"/>
    <w:rsid w:val="072B3B9C"/>
    <w:rsid w:val="090477D6"/>
    <w:rsid w:val="0E36635A"/>
    <w:rsid w:val="118843B6"/>
    <w:rsid w:val="14F8085E"/>
    <w:rsid w:val="15E052AF"/>
    <w:rsid w:val="16F05705"/>
    <w:rsid w:val="1AA46DED"/>
    <w:rsid w:val="1B545E83"/>
    <w:rsid w:val="1D63292F"/>
    <w:rsid w:val="1D8E6F6A"/>
    <w:rsid w:val="1ED87CD8"/>
    <w:rsid w:val="1FCB2978"/>
    <w:rsid w:val="20C52E66"/>
    <w:rsid w:val="22C73A31"/>
    <w:rsid w:val="23073297"/>
    <w:rsid w:val="23BA0347"/>
    <w:rsid w:val="261023D2"/>
    <w:rsid w:val="27015F6A"/>
    <w:rsid w:val="293F62D9"/>
    <w:rsid w:val="2E8C3EB6"/>
    <w:rsid w:val="33396165"/>
    <w:rsid w:val="34B25837"/>
    <w:rsid w:val="36380435"/>
    <w:rsid w:val="36651DBE"/>
    <w:rsid w:val="37FD1E38"/>
    <w:rsid w:val="3BC948A4"/>
    <w:rsid w:val="3E44603C"/>
    <w:rsid w:val="402E6E1E"/>
    <w:rsid w:val="438D4987"/>
    <w:rsid w:val="49B96E69"/>
    <w:rsid w:val="4CC46DBF"/>
    <w:rsid w:val="4D6B34D7"/>
    <w:rsid w:val="4DC12435"/>
    <w:rsid w:val="4DFB51AD"/>
    <w:rsid w:val="4FF516C5"/>
    <w:rsid w:val="58122BA9"/>
    <w:rsid w:val="590866E8"/>
    <w:rsid w:val="5CA316AF"/>
    <w:rsid w:val="5EA852B3"/>
    <w:rsid w:val="61E466BF"/>
    <w:rsid w:val="61F13F57"/>
    <w:rsid w:val="629601C8"/>
    <w:rsid w:val="62F44297"/>
    <w:rsid w:val="63AA347C"/>
    <w:rsid w:val="686E1E0D"/>
    <w:rsid w:val="696B281F"/>
    <w:rsid w:val="697F0394"/>
    <w:rsid w:val="69983E45"/>
    <w:rsid w:val="6ADD272F"/>
    <w:rsid w:val="6BFE710C"/>
    <w:rsid w:val="6D137A3A"/>
    <w:rsid w:val="6D3333AB"/>
    <w:rsid w:val="6D596C45"/>
    <w:rsid w:val="6DB466A7"/>
    <w:rsid w:val="6E0B55A6"/>
    <w:rsid w:val="6E58479C"/>
    <w:rsid w:val="70452F58"/>
    <w:rsid w:val="71FA1D4C"/>
    <w:rsid w:val="72751AB2"/>
    <w:rsid w:val="73343A8E"/>
    <w:rsid w:val="75412F82"/>
    <w:rsid w:val="75FD36AC"/>
    <w:rsid w:val="7DFB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批注框文本 字符"/>
    <w:basedOn w:val="10"/>
    <w:link w:val="3"/>
    <w:semiHidden/>
    <w:qFormat/>
    <w:uiPriority w:val="99"/>
    <w:rPr>
      <w:sz w:val="18"/>
      <w:szCs w:val="18"/>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批注文字 字符"/>
    <w:basedOn w:val="10"/>
    <w:link w:val="2"/>
    <w:semiHidden/>
    <w:qFormat/>
    <w:uiPriority w:val="99"/>
  </w:style>
  <w:style w:type="character" w:customStyle="1" w:styleId="16">
    <w:name w:val="批注主题 字符"/>
    <w:basedOn w:val="15"/>
    <w:link w:val="7"/>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774</Words>
  <Characters>4415</Characters>
  <Lines>36</Lines>
  <Paragraphs>10</Paragraphs>
  <TotalTime>19</TotalTime>
  <ScaleCrop>false</ScaleCrop>
  <LinksUpToDate>false</LinksUpToDate>
  <CharactersWithSpaces>5179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2020-09-21T02:01:00Z</dcterms:created>
  <dc:creator>宋云</dc:creator>
  <cp:lastModifiedBy>Grace</cp:lastModifiedBy>
  <dcterms:modified xsi:type="dcterms:W3CDTF">2020-09-25T06:03:07Z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